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AF5D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6"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4 </w:t>
      </w:r>
      <w:r>
        <w:rPr>
          <w:rFonts w:hint="eastAsia" w:ascii="黑体" w:hAnsi="黑体" w:eastAsia="黑体" w:cs="黑体"/>
          <w:color w:val="auto"/>
          <w:sz w:val="32"/>
          <w:szCs w:val="32"/>
          <w:highlight w:val="none"/>
          <w:shd w:val="clear" w:color="auto" w:fill="FFFFFF"/>
          <w:lang w:eastAsia="zh-CN"/>
        </w:rPr>
        <w:t>：评价办法</w:t>
      </w:r>
    </w:p>
    <w:bookmarkEnd w:id="6"/>
    <w:p w14:paraId="762CBC0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2425EA04">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14:paraId="710DCA48">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本比选项目采用</w:t>
      </w:r>
      <w:r>
        <w:rPr>
          <w:rFonts w:hint="eastAsia" w:cs="宋体"/>
          <w:b w:val="0"/>
          <w:bCs w:val="0"/>
          <w:color w:val="auto"/>
          <w:sz w:val="28"/>
          <w:szCs w:val="28"/>
          <w:highlight w:val="none"/>
          <w:lang w:eastAsia="zh-CN"/>
        </w:rPr>
        <w:t>综合评价</w:t>
      </w:r>
      <w:r>
        <w:rPr>
          <w:rFonts w:hint="eastAsia" w:ascii="宋体" w:hAnsi="宋体" w:eastAsia="宋体" w:cs="宋体"/>
          <w:b w:val="0"/>
          <w:bCs w:val="0"/>
          <w:color w:val="auto"/>
          <w:sz w:val="28"/>
          <w:szCs w:val="28"/>
          <w:highlight w:val="none"/>
        </w:rPr>
        <w:t>中选法</w:t>
      </w:r>
      <w:r>
        <w:rPr>
          <w:rFonts w:hint="eastAsia" w:ascii="宋体" w:hAnsi="宋体" w:eastAsia="宋体" w:cs="宋体"/>
          <w:b w:val="0"/>
          <w:bCs w:val="0"/>
          <w:color w:val="auto"/>
          <w:sz w:val="28"/>
          <w:szCs w:val="28"/>
          <w:highlight w:val="none"/>
          <w:lang w:eastAsia="zh-CN"/>
        </w:rPr>
        <w:t>。</w:t>
      </w:r>
    </w:p>
    <w:p w14:paraId="31884FD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①</w:t>
      </w:r>
      <w:r>
        <w:rPr>
          <w:rFonts w:hint="eastAsia" w:ascii="宋体" w:hAnsi="宋体" w:eastAsia="宋体" w:cs="宋体"/>
          <w:color w:val="auto"/>
          <w:sz w:val="28"/>
          <w:szCs w:val="28"/>
          <w:highlight w:val="none"/>
          <w:lang w:eastAsia="zh-CN"/>
        </w:rPr>
        <w:t>若资格条件、报价符合要求的比选申请人</w:t>
      </w:r>
      <w:r>
        <w:rPr>
          <w:rFonts w:hint="eastAsia" w:ascii="宋体" w:hAnsi="宋体" w:eastAsia="宋体" w:cs="宋体"/>
          <w:color w:val="auto"/>
          <w:sz w:val="28"/>
          <w:szCs w:val="28"/>
          <w:highlight w:val="none"/>
          <w:lang w:val="en-US" w:eastAsia="zh-CN"/>
        </w:rPr>
        <w:t>＜3家</w:t>
      </w:r>
      <w:r>
        <w:rPr>
          <w:rFonts w:hint="eastAsia" w:ascii="宋体" w:hAnsi="宋体" w:eastAsia="宋体" w:cs="宋体"/>
          <w:color w:val="auto"/>
          <w:sz w:val="28"/>
          <w:szCs w:val="28"/>
          <w:highlight w:val="none"/>
          <w:lang w:eastAsia="zh-CN"/>
        </w:rPr>
        <w:t>时，</w:t>
      </w:r>
      <w:r>
        <w:rPr>
          <w:rFonts w:hint="eastAsia" w:ascii="宋体" w:hAnsi="宋体" w:eastAsia="宋体" w:cs="宋体"/>
          <w:color w:val="auto"/>
          <w:sz w:val="28"/>
          <w:szCs w:val="28"/>
          <w:highlight w:val="none"/>
          <w:lang w:val="en-US" w:eastAsia="zh-CN"/>
        </w:rPr>
        <w:t>本次比选失败。</w:t>
      </w:r>
    </w:p>
    <w:p w14:paraId="091A02C0">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cs="宋体"/>
          <w:color w:val="auto"/>
          <w:sz w:val="28"/>
          <w:szCs w:val="28"/>
          <w:highlight w:val="none"/>
          <w:lang w:val="en-US" w:eastAsia="zh-CN"/>
        </w:rPr>
        <w:t>②</w:t>
      </w:r>
      <w:r>
        <w:rPr>
          <w:rFonts w:hint="eastAsia" w:ascii="宋体" w:hAnsi="宋体" w:eastAsia="宋体" w:cs="宋体"/>
          <w:color w:val="auto"/>
          <w:sz w:val="28"/>
          <w:szCs w:val="28"/>
          <w:highlight w:val="none"/>
          <w:lang w:eastAsia="zh-CN"/>
        </w:rPr>
        <w:t>若资格条件、报价符合要求的比选申请人</w:t>
      </w:r>
      <w:r>
        <w:rPr>
          <w:rFonts w:hint="eastAsia"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家时，将</w:t>
      </w:r>
      <w:r>
        <w:rPr>
          <w:rFonts w:hint="eastAsia" w:ascii="宋体" w:hAnsi="宋体" w:eastAsia="宋体" w:cs="宋体"/>
          <w:color w:val="auto"/>
          <w:sz w:val="28"/>
          <w:szCs w:val="28"/>
          <w:highlight w:val="none"/>
        </w:rPr>
        <w:t>符合要求的</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按照本</w:t>
      </w:r>
      <w:r>
        <w:rPr>
          <w:rFonts w:hint="eastAsia" w:cs="宋体"/>
          <w:color w:val="auto"/>
          <w:sz w:val="28"/>
          <w:szCs w:val="28"/>
          <w:highlight w:val="none"/>
          <w:lang w:eastAsia="zh-CN"/>
        </w:rPr>
        <w:t>评价</w:t>
      </w:r>
      <w:r>
        <w:rPr>
          <w:rFonts w:hint="eastAsia" w:ascii="宋体" w:hAnsi="宋体" w:eastAsia="宋体" w:cs="宋体"/>
          <w:color w:val="auto"/>
          <w:sz w:val="28"/>
          <w:szCs w:val="28"/>
          <w:highlight w:val="none"/>
        </w:rPr>
        <w:t>办法中规定的各项因素进行</w:t>
      </w:r>
      <w:r>
        <w:rPr>
          <w:rFonts w:hint="eastAsia" w:cs="宋体"/>
          <w:color w:val="auto"/>
          <w:sz w:val="28"/>
          <w:szCs w:val="28"/>
          <w:highlight w:val="none"/>
          <w:lang w:eastAsia="zh-CN"/>
        </w:rPr>
        <w:t>综合评价</w:t>
      </w:r>
      <w:r>
        <w:rPr>
          <w:rFonts w:hint="eastAsia" w:ascii="宋体" w:hAnsi="宋体" w:eastAsia="宋体" w:cs="宋体"/>
          <w:color w:val="auto"/>
          <w:sz w:val="28"/>
          <w:szCs w:val="28"/>
          <w:highlight w:val="none"/>
          <w:lang w:eastAsia="zh-CN"/>
        </w:rPr>
        <w:t>，并根据</w:t>
      </w:r>
      <w:r>
        <w:rPr>
          <w:rFonts w:hint="eastAsia" w:ascii="宋体" w:hAnsi="宋体" w:eastAsia="宋体" w:cs="宋体"/>
          <w:color w:val="auto"/>
          <w:sz w:val="28"/>
          <w:szCs w:val="28"/>
          <w:highlight w:val="none"/>
        </w:rPr>
        <w:t>比选</w:t>
      </w:r>
      <w:r>
        <w:rPr>
          <w:rFonts w:hint="eastAsia" w:ascii="宋体" w:hAnsi="宋体" w:eastAsia="宋体" w:cs="宋体"/>
          <w:color w:val="auto"/>
          <w:sz w:val="28"/>
          <w:szCs w:val="28"/>
          <w:highlight w:val="none"/>
          <w:lang w:eastAsia="zh-CN"/>
        </w:rPr>
        <w:t>申请人的综合得分由高到低排序，综合得分最高</w:t>
      </w:r>
      <w:r>
        <w:rPr>
          <w:rFonts w:hint="eastAsia" w:ascii="宋体" w:hAnsi="宋体" w:eastAsia="宋体" w:cs="宋体"/>
          <w:color w:val="auto"/>
          <w:sz w:val="28"/>
          <w:szCs w:val="28"/>
          <w:highlight w:val="none"/>
        </w:rPr>
        <w:t>的为第一中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候选人，以此类推选择第二、第三中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w:t>
      </w:r>
    </w:p>
    <w:p w14:paraId="5CD38F8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当出现二个或二个以上</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综合得分</w:t>
      </w:r>
      <w:r>
        <w:rPr>
          <w:rFonts w:hint="eastAsia" w:ascii="宋体" w:hAnsi="宋体" w:eastAsia="宋体" w:cs="宋体"/>
          <w:color w:val="auto"/>
          <w:sz w:val="28"/>
          <w:szCs w:val="28"/>
          <w:highlight w:val="none"/>
        </w:rPr>
        <w:t>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依次</w:t>
      </w:r>
      <w:r>
        <w:rPr>
          <w:rFonts w:hint="eastAsia" w:cs="宋体"/>
          <w:color w:val="auto"/>
          <w:sz w:val="28"/>
          <w:szCs w:val="28"/>
          <w:highlight w:val="none"/>
          <w:lang w:eastAsia="zh-CN"/>
        </w:rPr>
        <w:t>按照</w:t>
      </w:r>
      <w:r>
        <w:rPr>
          <w:rFonts w:hint="eastAsia" w:cs="宋体"/>
          <w:color w:val="auto"/>
          <w:sz w:val="28"/>
          <w:szCs w:val="28"/>
          <w:highlight w:val="none"/>
          <w:u w:val="single"/>
          <w:lang w:val="en-US" w:eastAsia="zh-CN"/>
        </w:rPr>
        <w:t xml:space="preserve">       比选报价由低到高、技术部分得分由高到低、商务部分得分由高到低</w:t>
      </w:r>
      <w:r>
        <w:rPr>
          <w:rFonts w:hint="eastAsia" w:ascii="宋体" w:hAnsi="宋体" w:eastAsia="宋体" w:cs="宋体"/>
          <w:color w:val="auto"/>
          <w:sz w:val="28"/>
          <w:szCs w:val="28"/>
          <w:highlight w:val="none"/>
        </w:rPr>
        <w:t>进行排序，若上述</w:t>
      </w:r>
      <w:r>
        <w:rPr>
          <w:rFonts w:hint="eastAsia" w:ascii="宋体" w:hAnsi="宋体" w:cs="宋体"/>
          <w:color w:val="auto"/>
          <w:sz w:val="28"/>
          <w:szCs w:val="28"/>
          <w:highlight w:val="none"/>
          <w:lang w:eastAsia="zh-CN"/>
        </w:rPr>
        <w:t>三</w:t>
      </w:r>
      <w:r>
        <w:rPr>
          <w:rFonts w:hint="eastAsia" w:ascii="宋体" w:hAnsi="宋体" w:eastAsia="宋体" w:cs="宋体"/>
          <w:color w:val="auto"/>
          <w:sz w:val="28"/>
          <w:szCs w:val="28"/>
          <w:highlight w:val="none"/>
        </w:rPr>
        <w:t>项均相同时，由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随机抽取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以比选申请人提交比选申请书的签到号作为代表号（代表号不再另行抽取）</w:t>
      </w:r>
      <w:r>
        <w:rPr>
          <w:rFonts w:hint="eastAsia" w:ascii="宋体" w:hAnsi="宋体" w:eastAsia="宋体" w:cs="宋体"/>
          <w:color w:val="auto"/>
          <w:sz w:val="28"/>
          <w:szCs w:val="28"/>
          <w:highlight w:val="none"/>
          <w:lang w:eastAsia="zh-CN"/>
        </w:rPr>
        <w:t>进行</w:t>
      </w:r>
      <w:r>
        <w:rPr>
          <w:rFonts w:hint="eastAsia" w:ascii="宋体" w:hAnsi="宋体" w:eastAsia="宋体" w:cs="宋体"/>
          <w:color w:val="auto"/>
          <w:sz w:val="28"/>
          <w:szCs w:val="28"/>
          <w:highlight w:val="none"/>
        </w:rPr>
        <w:t>随机抽取，先抽取出来的球号排序在前。</w:t>
      </w:r>
    </w:p>
    <w:p w14:paraId="5AE72AF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14:paraId="25CADDF7">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50  </w:t>
      </w:r>
      <w:r>
        <w:rPr>
          <w:rFonts w:hint="eastAsia" w:ascii="宋体" w:hAnsi="宋体" w:cs="宋体"/>
          <w:b/>
          <w:bCs/>
          <w:color w:val="auto"/>
          <w:sz w:val="28"/>
          <w:szCs w:val="28"/>
          <w:highlight w:val="none"/>
        </w:rPr>
        <w:t>分</w:t>
      </w:r>
    </w:p>
    <w:p w14:paraId="48B203B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cs="宋体"/>
          <w:b/>
          <w:bCs/>
          <w:color w:val="auto"/>
          <w:sz w:val="28"/>
          <w:szCs w:val="28"/>
          <w:highlight w:val="none"/>
          <w:lang w:eastAsia="zh-CN"/>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）商务部分得分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20  </w:t>
      </w:r>
      <w:r>
        <w:rPr>
          <w:rFonts w:hint="eastAsia" w:ascii="宋体" w:hAnsi="宋体" w:cs="宋体"/>
          <w:b/>
          <w:bCs/>
          <w:color w:val="auto"/>
          <w:sz w:val="28"/>
          <w:szCs w:val="28"/>
          <w:highlight w:val="none"/>
        </w:rPr>
        <w:t>分</w:t>
      </w:r>
    </w:p>
    <w:p w14:paraId="02212E21">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val="en-US" w:eastAsia="zh-CN"/>
        </w:rPr>
        <w:t>（3）</w:t>
      </w:r>
      <w:r>
        <w:rPr>
          <w:rFonts w:hint="eastAsia" w:ascii="宋体" w:hAnsi="宋体" w:eastAsia="宋体" w:cs="宋体"/>
          <w:b/>
          <w:bCs/>
          <w:color w:val="auto"/>
          <w:sz w:val="28"/>
          <w:szCs w:val="28"/>
          <w:highlight w:val="none"/>
        </w:rPr>
        <w:t>技术</w:t>
      </w:r>
      <w:r>
        <w:rPr>
          <w:rFonts w:hint="eastAsia" w:ascii="宋体" w:hAnsi="宋体" w:cs="宋体"/>
          <w:b/>
          <w:bCs/>
          <w:color w:val="auto"/>
          <w:sz w:val="28"/>
          <w:szCs w:val="28"/>
          <w:highlight w:val="none"/>
        </w:rPr>
        <w:t>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30  </w:t>
      </w:r>
      <w:r>
        <w:rPr>
          <w:rFonts w:hint="eastAsia" w:ascii="宋体" w:hAnsi="宋体" w:cs="宋体"/>
          <w:b/>
          <w:bCs/>
          <w:color w:val="auto"/>
          <w:sz w:val="28"/>
          <w:szCs w:val="28"/>
          <w:highlight w:val="none"/>
        </w:rPr>
        <w:t>分</w:t>
      </w:r>
    </w:p>
    <w:p w14:paraId="31DE99C7">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6311E599">
      <w:pPr>
        <w:pStyle w:val="19"/>
        <w:keepNext w:val="0"/>
        <w:keepLines w:val="0"/>
        <w:pageBreakBefore w:val="0"/>
        <w:widowControl w:val="0"/>
        <w:kinsoku/>
        <w:wordWrap/>
        <w:overflowPunct/>
        <w:topLinePunct w:val="0"/>
        <w:autoSpaceDE/>
        <w:autoSpaceDN/>
        <w:bidi w:val="0"/>
        <w:adjustRightInd/>
        <w:snapToGrid/>
        <w:spacing w:before="0" w:after="0"/>
        <w:jc w:val="both"/>
        <w:textAlignment w:val="auto"/>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第一部分  价格部分</w:t>
      </w:r>
      <w:r>
        <w:rPr>
          <w:rFonts w:hint="eastAsia" w:ascii="宋体" w:hAnsi="宋体" w:cs="宋体"/>
          <w:bCs w:val="0"/>
          <w:color w:val="auto"/>
          <w:sz w:val="28"/>
          <w:szCs w:val="28"/>
          <w:highlight w:val="none"/>
          <w:lang w:eastAsia="zh-CN"/>
        </w:rPr>
        <w:t>评价标准</w:t>
      </w:r>
      <w:r>
        <w:rPr>
          <w:rFonts w:hint="eastAsia" w:ascii="宋体" w:hAnsi="宋体" w:cs="宋体"/>
          <w:bCs w:val="0"/>
          <w:color w:val="auto"/>
          <w:sz w:val="28"/>
          <w:szCs w:val="28"/>
          <w:highlight w:val="none"/>
        </w:rPr>
        <w:tab/>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50</w:t>
      </w:r>
      <w:r>
        <w:rPr>
          <w:rFonts w:hint="eastAsia" w:ascii="宋体" w:hAnsi="宋体" w:cs="宋体"/>
          <w:bCs w:val="0"/>
          <w:color w:val="auto"/>
          <w:sz w:val="28"/>
          <w:szCs w:val="28"/>
          <w:highlight w:val="none"/>
        </w:rPr>
        <w:t>分）</w:t>
      </w:r>
    </w:p>
    <w:tbl>
      <w:tblPr>
        <w:tblStyle w:val="21"/>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14:paraId="29C3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3DC74FFF">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0" w:name="_Toc9384"/>
            <w:r>
              <w:rPr>
                <w:rFonts w:hint="eastAsia" w:ascii="宋体" w:hAnsi="宋体" w:eastAsia="宋体" w:cs="宋体"/>
                <w:bCs w:val="0"/>
                <w:color w:val="auto"/>
                <w:sz w:val="28"/>
                <w:szCs w:val="28"/>
                <w:highlight w:val="none"/>
              </w:rPr>
              <w:t>序号</w:t>
            </w:r>
            <w:bookmarkEnd w:id="0"/>
          </w:p>
        </w:tc>
        <w:tc>
          <w:tcPr>
            <w:tcW w:w="1381" w:type="dxa"/>
            <w:noWrap w:val="0"/>
            <w:vAlign w:val="center"/>
          </w:tcPr>
          <w:p w14:paraId="4C98BCBD">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1" w:name="_Toc1402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项目</w:t>
            </w:r>
            <w:bookmarkEnd w:id="1"/>
          </w:p>
        </w:tc>
        <w:tc>
          <w:tcPr>
            <w:tcW w:w="1374" w:type="dxa"/>
            <w:noWrap w:val="0"/>
            <w:vAlign w:val="center"/>
          </w:tcPr>
          <w:p w14:paraId="6499F0D9">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2" w:name="_Toc29875"/>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分值</w:t>
            </w:r>
            <w:bookmarkEnd w:id="2"/>
          </w:p>
        </w:tc>
        <w:tc>
          <w:tcPr>
            <w:tcW w:w="6285" w:type="dxa"/>
            <w:noWrap w:val="0"/>
            <w:vAlign w:val="center"/>
          </w:tcPr>
          <w:p w14:paraId="782A7C17">
            <w:pPr>
              <w:pStyle w:val="19"/>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3" w:name="_Toc2636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标准</w:t>
            </w:r>
            <w:bookmarkEnd w:id="3"/>
          </w:p>
        </w:tc>
      </w:tr>
      <w:tr w14:paraId="49FB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28FF6D55">
            <w:pPr>
              <w:pStyle w:val="19"/>
              <w:keepNext w:val="0"/>
              <w:keepLines w:val="0"/>
              <w:pageBreakBefore w:val="0"/>
              <w:widowControl w:val="0"/>
              <w:kinsoku/>
              <w:wordWrap/>
              <w:overflowPunct/>
              <w:topLinePunct w:val="0"/>
              <w:autoSpaceDE/>
              <w:autoSpaceDN/>
              <w:bidi w:val="0"/>
              <w:adjustRightInd/>
              <w:snapToGrid/>
              <w:spacing w:before="0" w:after="0" w:line="440" w:lineRule="exact"/>
              <w:ind w:firstLine="280" w:firstLineChars="100"/>
              <w:jc w:val="both"/>
              <w:textAlignment w:val="auto"/>
              <w:outlineLvl w:val="9"/>
              <w:rPr>
                <w:rFonts w:hint="eastAsia" w:ascii="宋体" w:hAnsi="宋体" w:eastAsia="宋体" w:cs="宋体"/>
                <w:b w:val="0"/>
                <w:bCs w:val="0"/>
                <w:color w:val="auto"/>
                <w:sz w:val="28"/>
                <w:szCs w:val="28"/>
                <w:highlight w:val="none"/>
              </w:rPr>
            </w:pPr>
            <w:bookmarkStart w:id="4" w:name="_Toc12598"/>
            <w:r>
              <w:rPr>
                <w:rFonts w:hint="eastAsia" w:ascii="宋体" w:hAnsi="宋体" w:eastAsia="宋体" w:cs="宋体"/>
                <w:b w:val="0"/>
                <w:bCs w:val="0"/>
                <w:color w:val="auto"/>
                <w:sz w:val="28"/>
                <w:szCs w:val="28"/>
                <w:highlight w:val="none"/>
              </w:rPr>
              <w:t>1</w:t>
            </w:r>
            <w:bookmarkEnd w:id="4"/>
          </w:p>
        </w:tc>
        <w:tc>
          <w:tcPr>
            <w:tcW w:w="1381" w:type="dxa"/>
            <w:noWrap w:val="0"/>
            <w:vAlign w:val="center"/>
          </w:tcPr>
          <w:p w14:paraId="0FE75700">
            <w:pPr>
              <w:pStyle w:val="19"/>
              <w:spacing w:before="0" w:after="0" w:line="440" w:lineRule="exact"/>
              <w:outlineLvl w:val="9"/>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报价得分</w:t>
            </w:r>
          </w:p>
        </w:tc>
        <w:tc>
          <w:tcPr>
            <w:tcW w:w="1374" w:type="dxa"/>
            <w:noWrap w:val="0"/>
            <w:vAlign w:val="center"/>
          </w:tcPr>
          <w:p w14:paraId="1096BD9B">
            <w:pPr>
              <w:pStyle w:val="19"/>
              <w:spacing w:before="0" w:after="0" w:line="440" w:lineRule="exact"/>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u w:val="single"/>
                <w:lang w:val="en-US" w:eastAsia="zh-CN"/>
              </w:rPr>
              <w:t>50</w:t>
            </w:r>
            <w:r>
              <w:rPr>
                <w:rFonts w:hint="eastAsia" w:ascii="宋体" w:hAnsi="宋体" w:eastAsia="宋体" w:cs="宋体"/>
                <w:b w:val="0"/>
                <w:bCs w:val="0"/>
                <w:color w:val="auto"/>
                <w:sz w:val="28"/>
                <w:szCs w:val="28"/>
                <w:highlight w:val="none"/>
              </w:rPr>
              <w:t>分</w:t>
            </w:r>
          </w:p>
        </w:tc>
        <w:tc>
          <w:tcPr>
            <w:tcW w:w="6285" w:type="dxa"/>
            <w:noWrap w:val="0"/>
            <w:vAlign w:val="center"/>
          </w:tcPr>
          <w:p w14:paraId="77779ABC">
            <w:pPr>
              <w:pStyle w:val="55"/>
              <w:spacing w:before="0" w:after="0" w:line="440" w:lineRule="exac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根据比选申请人报价情况进行评价：</w:t>
            </w:r>
          </w:p>
          <w:p w14:paraId="495B6188">
            <w:pPr>
              <w:pStyle w:val="55"/>
              <w:numPr>
                <w:ilvl w:val="0"/>
                <w:numId w:val="0"/>
              </w:numPr>
              <w:spacing w:before="0" w:after="0" w:line="440" w:lineRule="exact"/>
              <w:ind w:leftChars="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①比选申请人报价金额不得超过比选人公布的各子项目对应的最高限价金额，报价（税前）由低到高排序，第一名得</w:t>
            </w:r>
            <w:r>
              <w:rPr>
                <w:rFonts w:hint="eastAsia" w:ascii="宋体" w:hAnsi="宋体" w:eastAsia="宋体" w:cs="宋体"/>
                <w:color w:val="auto"/>
                <w:sz w:val="28"/>
                <w:szCs w:val="28"/>
                <w:highlight w:val="none"/>
                <w:lang w:val="en-US" w:eastAsia="zh-CN"/>
              </w:rPr>
              <w:t>5</w:t>
            </w:r>
            <w:r>
              <w:rPr>
                <w:rFonts w:ascii="宋体" w:hAnsi="宋体" w:eastAsia="宋体" w:cs="宋体"/>
                <w:color w:val="auto"/>
                <w:sz w:val="28"/>
                <w:szCs w:val="28"/>
                <w:highlight w:val="none"/>
              </w:rPr>
              <w:t>0</w:t>
            </w:r>
            <w:r>
              <w:rPr>
                <w:rFonts w:hint="eastAsia" w:ascii="宋体" w:hAnsi="宋体" w:eastAsia="宋体" w:cs="宋体"/>
                <w:color w:val="auto"/>
                <w:sz w:val="28"/>
                <w:szCs w:val="28"/>
                <w:highlight w:val="none"/>
              </w:rPr>
              <w:t>分，第二名得</w:t>
            </w:r>
            <w:r>
              <w:rPr>
                <w:rFonts w:hint="eastAsia" w:ascii="宋体" w:hAnsi="宋体" w:eastAsia="宋体" w:cs="宋体"/>
                <w:color w:val="auto"/>
                <w:sz w:val="28"/>
                <w:szCs w:val="28"/>
                <w:highlight w:val="none"/>
                <w:lang w:val="en-US" w:eastAsia="zh-CN"/>
              </w:rPr>
              <w:t>45</w:t>
            </w:r>
            <w:r>
              <w:rPr>
                <w:rFonts w:hint="eastAsia" w:ascii="宋体" w:hAnsi="宋体" w:eastAsia="宋体" w:cs="宋体"/>
                <w:color w:val="auto"/>
                <w:sz w:val="28"/>
                <w:szCs w:val="28"/>
                <w:highlight w:val="none"/>
              </w:rPr>
              <w:t>分，第三名得</w:t>
            </w:r>
            <w:r>
              <w:rPr>
                <w:rFonts w:hint="eastAsia" w:ascii="宋体" w:hAnsi="宋体" w:eastAsia="宋体" w:cs="宋体"/>
                <w:color w:val="auto"/>
                <w:sz w:val="28"/>
                <w:szCs w:val="28"/>
                <w:highlight w:val="none"/>
                <w:lang w:val="en-US" w:eastAsia="zh-CN"/>
              </w:rPr>
              <w:t>40</w:t>
            </w:r>
            <w:r>
              <w:rPr>
                <w:rFonts w:hint="eastAsia" w:ascii="宋体" w:hAnsi="宋体" w:eastAsia="宋体" w:cs="宋体"/>
                <w:color w:val="auto"/>
                <w:sz w:val="28"/>
                <w:szCs w:val="28"/>
                <w:highlight w:val="none"/>
              </w:rPr>
              <w:t>。其它名次得</w:t>
            </w:r>
            <w:r>
              <w:rPr>
                <w:rFonts w:hint="eastAsia" w:ascii="宋体" w:hAnsi="宋体" w:eastAsia="宋体" w:cs="宋体"/>
                <w:color w:val="auto"/>
                <w:sz w:val="28"/>
                <w:szCs w:val="28"/>
                <w:highlight w:val="none"/>
                <w:lang w:val="en-US" w:eastAsia="zh-CN"/>
              </w:rPr>
              <w:t>35</w:t>
            </w:r>
            <w:r>
              <w:rPr>
                <w:rFonts w:hint="eastAsia" w:ascii="宋体" w:hAnsi="宋体" w:eastAsia="宋体" w:cs="宋体"/>
                <w:color w:val="auto"/>
                <w:sz w:val="28"/>
                <w:szCs w:val="28"/>
                <w:highlight w:val="none"/>
              </w:rPr>
              <w:t>分。</w:t>
            </w:r>
          </w:p>
          <w:p w14:paraId="18A80B80">
            <w:pPr>
              <w:pStyle w:val="55"/>
              <w:numPr>
                <w:ilvl w:val="0"/>
                <w:numId w:val="0"/>
              </w:numPr>
              <w:spacing w:before="0" w:after="0" w:line="440" w:lineRule="exact"/>
              <w:ind w:left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②报价相同的视为同一名。</w:t>
            </w:r>
          </w:p>
        </w:tc>
      </w:tr>
    </w:tbl>
    <w:p w14:paraId="180DF7C1">
      <w:pPr>
        <w:pStyle w:val="19"/>
        <w:jc w:val="both"/>
        <w:outlineLvl w:val="9"/>
        <w:rPr>
          <w:rFonts w:hint="eastAsia" w:ascii="宋体" w:hAnsi="宋体" w:cs="宋体"/>
          <w:bCs w:val="0"/>
          <w:color w:val="auto"/>
          <w:sz w:val="28"/>
          <w:szCs w:val="28"/>
          <w:highlight w:val="none"/>
        </w:rPr>
      </w:pPr>
      <w:bookmarkStart w:id="5" w:name="_Toc17988"/>
      <w:r>
        <w:rPr>
          <w:rFonts w:hint="eastAsia" w:ascii="宋体" w:hAnsi="宋体" w:cs="宋体"/>
          <w:bCs w:val="0"/>
          <w:color w:val="auto"/>
          <w:sz w:val="28"/>
          <w:szCs w:val="28"/>
          <w:highlight w:val="none"/>
        </w:rPr>
        <w:t xml:space="preserve">第二部分  </w:t>
      </w:r>
      <w:r>
        <w:rPr>
          <w:rFonts w:hint="eastAsia" w:ascii="宋体" w:hAnsi="宋体" w:cs="宋体"/>
          <w:bCs w:val="0"/>
          <w:color w:val="auto"/>
          <w:sz w:val="28"/>
          <w:szCs w:val="28"/>
          <w:highlight w:val="none"/>
          <w:lang w:eastAsia="zh-CN"/>
        </w:rPr>
        <w:t>商务</w:t>
      </w:r>
      <w:r>
        <w:rPr>
          <w:rFonts w:hint="eastAsia" w:ascii="宋体" w:hAnsi="宋体" w:cs="宋体"/>
          <w:bCs w:val="0"/>
          <w:color w:val="auto"/>
          <w:sz w:val="28"/>
          <w:szCs w:val="28"/>
          <w:highlight w:val="none"/>
        </w:rPr>
        <w:t>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20 </w:t>
      </w:r>
      <w:r>
        <w:rPr>
          <w:rFonts w:hint="eastAsia" w:ascii="宋体" w:hAnsi="宋体" w:cs="宋体"/>
          <w:bCs w:val="0"/>
          <w:color w:val="auto"/>
          <w:sz w:val="28"/>
          <w:szCs w:val="28"/>
          <w:highlight w:val="none"/>
        </w:rPr>
        <w:t>分）</w:t>
      </w:r>
    </w:p>
    <w:tbl>
      <w:tblPr>
        <w:tblStyle w:val="21"/>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1A4A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29C88DB3">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序号</w:t>
            </w:r>
          </w:p>
        </w:tc>
        <w:tc>
          <w:tcPr>
            <w:tcW w:w="1357" w:type="dxa"/>
            <w:noWrap w:val="0"/>
            <w:vAlign w:val="center"/>
          </w:tcPr>
          <w:p w14:paraId="45D15955">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项目</w:t>
            </w:r>
          </w:p>
        </w:tc>
        <w:tc>
          <w:tcPr>
            <w:tcW w:w="1389" w:type="dxa"/>
            <w:noWrap w:val="0"/>
            <w:vAlign w:val="center"/>
          </w:tcPr>
          <w:p w14:paraId="31D60072">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分值</w:t>
            </w:r>
          </w:p>
        </w:tc>
        <w:tc>
          <w:tcPr>
            <w:tcW w:w="6272" w:type="dxa"/>
            <w:noWrap w:val="0"/>
            <w:vAlign w:val="center"/>
          </w:tcPr>
          <w:p w14:paraId="5B36109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标准</w:t>
            </w:r>
          </w:p>
        </w:tc>
      </w:tr>
      <w:tr w14:paraId="077F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2F81724B">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1357" w:type="dxa"/>
            <w:noWrap w:val="0"/>
            <w:vAlign w:val="center"/>
          </w:tcPr>
          <w:p w14:paraId="13A7FE6A">
            <w:pPr>
              <w:spacing w:line="440" w:lineRule="exact"/>
              <w:jc w:val="center"/>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rPr>
              <w:t>商务评分标准</w:t>
            </w:r>
          </w:p>
        </w:tc>
        <w:tc>
          <w:tcPr>
            <w:tcW w:w="1389" w:type="dxa"/>
            <w:noWrap w:val="0"/>
            <w:vAlign w:val="center"/>
          </w:tcPr>
          <w:p w14:paraId="0C1C4512">
            <w:pPr>
              <w:spacing w:line="440" w:lineRule="exact"/>
              <w:jc w:val="center"/>
              <w:rPr>
                <w:rFonts w:hint="eastAsia" w:ascii="宋体" w:hAnsi="宋体" w:eastAsia="宋体" w:cs="宋体"/>
                <w:b w:val="0"/>
                <w:bCs w:val="0"/>
                <w:color w:val="auto"/>
                <w:kern w:val="1"/>
                <w:sz w:val="28"/>
                <w:szCs w:val="28"/>
                <w:highlight w:val="none"/>
                <w:lang w:val="en-US" w:eastAsia="zh-CN" w:bidi="ar-SA"/>
              </w:rPr>
            </w:pPr>
            <w:r>
              <w:rPr>
                <w:rFonts w:ascii="宋体" w:hAnsi="宋体" w:eastAsia="宋体" w:cs="宋体"/>
                <w:color w:val="auto"/>
                <w:kern w:val="1"/>
                <w:sz w:val="28"/>
                <w:szCs w:val="28"/>
                <w:highlight w:val="none"/>
                <w:u w:val="single"/>
              </w:rPr>
              <w:t>2</w:t>
            </w:r>
            <w:r>
              <w:rPr>
                <w:rFonts w:hint="eastAsia" w:ascii="宋体" w:hAnsi="宋体" w:eastAsia="宋体" w:cs="宋体"/>
                <w:color w:val="auto"/>
                <w:kern w:val="1"/>
                <w:sz w:val="28"/>
                <w:szCs w:val="28"/>
                <w:highlight w:val="none"/>
                <w:u w:val="single"/>
              </w:rPr>
              <w:t>0</w:t>
            </w:r>
            <w:r>
              <w:rPr>
                <w:rFonts w:hint="eastAsia" w:ascii="宋体" w:hAnsi="宋体" w:eastAsia="宋体" w:cs="宋体"/>
                <w:color w:val="auto"/>
                <w:kern w:val="1"/>
                <w:sz w:val="28"/>
                <w:szCs w:val="28"/>
                <w:highlight w:val="none"/>
              </w:rPr>
              <w:t>分</w:t>
            </w:r>
          </w:p>
        </w:tc>
        <w:tc>
          <w:tcPr>
            <w:tcW w:w="6272" w:type="dxa"/>
            <w:noWrap w:val="0"/>
            <w:vAlign w:val="center"/>
          </w:tcPr>
          <w:p w14:paraId="3458EB06">
            <w:pPr>
              <w:pStyle w:val="55"/>
              <w:spacing w:before="0" w:after="0" w:line="440" w:lineRule="exact"/>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企业类似业绩情况（</w:t>
            </w:r>
            <w:r>
              <w:rPr>
                <w:rFonts w:ascii="宋体" w:hAnsi="宋体" w:eastAsia="宋体" w:cs="宋体"/>
                <w:bCs w:val="0"/>
                <w:color w:val="auto"/>
                <w:sz w:val="28"/>
                <w:szCs w:val="28"/>
                <w:highlight w:val="none"/>
              </w:rPr>
              <w:t>20</w:t>
            </w:r>
            <w:r>
              <w:rPr>
                <w:rFonts w:hint="eastAsia" w:ascii="宋体" w:hAnsi="宋体" w:eastAsia="宋体" w:cs="宋体"/>
                <w:bCs w:val="0"/>
                <w:color w:val="auto"/>
                <w:sz w:val="28"/>
                <w:szCs w:val="28"/>
                <w:highlight w:val="none"/>
              </w:rPr>
              <w:t>分）</w:t>
            </w:r>
          </w:p>
          <w:p w14:paraId="4592EB7C">
            <w:pPr>
              <w:pStyle w:val="55"/>
              <w:spacing w:before="0" w:after="0" w:line="440" w:lineRule="exact"/>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同类项目业绩满足资格审查最低要求，得基本分</w:t>
            </w:r>
            <w:r>
              <w:rPr>
                <w:rFonts w:ascii="宋体" w:hAnsi="宋体" w:eastAsia="宋体" w:cs="宋体"/>
                <w:bCs w:val="0"/>
                <w:color w:val="auto"/>
                <w:sz w:val="28"/>
                <w:szCs w:val="28"/>
                <w:highlight w:val="none"/>
              </w:rPr>
              <w:t>12</w:t>
            </w:r>
            <w:r>
              <w:rPr>
                <w:rFonts w:hint="eastAsia" w:ascii="宋体" w:hAnsi="宋体" w:eastAsia="宋体" w:cs="宋体"/>
                <w:bCs w:val="0"/>
                <w:color w:val="auto"/>
                <w:sz w:val="28"/>
                <w:szCs w:val="28"/>
                <w:highlight w:val="none"/>
              </w:rPr>
              <w:t>分；每增加一项视频拍摄制作</w:t>
            </w:r>
            <w:r>
              <w:rPr>
                <w:rFonts w:hint="eastAsia" w:ascii="宋体" w:hAnsi="宋体" w:eastAsia="宋体" w:cs="宋体"/>
                <w:bCs w:val="0"/>
                <w:color w:val="auto"/>
                <w:sz w:val="28"/>
                <w:szCs w:val="28"/>
                <w:highlight w:val="none"/>
                <w:lang w:eastAsia="zh-CN"/>
              </w:rPr>
              <w:t>不含税合同额≥12万元</w:t>
            </w:r>
            <w:r>
              <w:rPr>
                <w:rFonts w:hint="eastAsia" w:ascii="宋体" w:hAnsi="宋体" w:eastAsia="宋体" w:cs="宋体"/>
                <w:bCs w:val="0"/>
                <w:color w:val="auto"/>
                <w:sz w:val="28"/>
                <w:szCs w:val="28"/>
                <w:highlight w:val="none"/>
              </w:rPr>
              <w:t>项目</w:t>
            </w:r>
            <w:r>
              <w:rPr>
                <w:rFonts w:hint="eastAsia" w:ascii="宋体" w:hAnsi="宋体" w:eastAsia="宋体" w:cs="宋体"/>
                <w:bCs w:val="0"/>
                <w:color w:val="auto"/>
                <w:sz w:val="28"/>
                <w:szCs w:val="28"/>
                <w:highlight w:val="none"/>
                <w:lang w:val="en-US" w:eastAsia="zh-CN"/>
              </w:rPr>
              <w:t>类似</w:t>
            </w:r>
            <w:r>
              <w:rPr>
                <w:rFonts w:hint="eastAsia" w:ascii="宋体" w:hAnsi="宋体" w:eastAsia="宋体" w:cs="宋体"/>
                <w:bCs w:val="0"/>
                <w:color w:val="auto"/>
                <w:sz w:val="28"/>
                <w:szCs w:val="28"/>
                <w:highlight w:val="none"/>
              </w:rPr>
              <w:t>业绩的加</w:t>
            </w:r>
            <w:r>
              <w:rPr>
                <w:rFonts w:ascii="宋体" w:hAnsi="宋体" w:eastAsia="宋体" w:cs="宋体"/>
                <w:bCs w:val="0"/>
                <w:color w:val="auto"/>
                <w:sz w:val="28"/>
                <w:szCs w:val="28"/>
                <w:highlight w:val="none"/>
              </w:rPr>
              <w:t>4</w:t>
            </w:r>
            <w:r>
              <w:rPr>
                <w:rFonts w:hint="eastAsia" w:ascii="宋体" w:hAnsi="宋体" w:eastAsia="宋体" w:cs="宋体"/>
                <w:bCs w:val="0"/>
                <w:color w:val="auto"/>
                <w:sz w:val="28"/>
                <w:szCs w:val="28"/>
                <w:highlight w:val="none"/>
              </w:rPr>
              <w:t>分，本项满分</w:t>
            </w:r>
            <w:r>
              <w:rPr>
                <w:rFonts w:ascii="宋体" w:hAnsi="宋体" w:eastAsia="宋体" w:cs="宋体"/>
                <w:bCs w:val="0"/>
                <w:color w:val="auto"/>
                <w:sz w:val="28"/>
                <w:szCs w:val="28"/>
                <w:highlight w:val="none"/>
              </w:rPr>
              <w:t>20</w:t>
            </w:r>
            <w:r>
              <w:rPr>
                <w:rFonts w:hint="eastAsia" w:ascii="宋体" w:hAnsi="宋体" w:eastAsia="宋体" w:cs="宋体"/>
                <w:bCs w:val="0"/>
                <w:color w:val="auto"/>
                <w:sz w:val="28"/>
                <w:szCs w:val="28"/>
                <w:highlight w:val="none"/>
              </w:rPr>
              <w:t>分。</w:t>
            </w:r>
          </w:p>
          <w:p w14:paraId="2A94C9B7">
            <w:pPr>
              <w:pStyle w:val="18"/>
              <w:spacing w:before="0" w:beforeAutospacing="0" w:after="0" w:afterAutospacing="0" w:line="480" w:lineRule="auto"/>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bCs/>
                <w:color w:val="auto"/>
                <w:spacing w:val="10"/>
                <w:kern w:val="0"/>
                <w:sz w:val="28"/>
                <w:szCs w:val="28"/>
                <w:highlight w:val="none"/>
                <w:lang w:val="en-US" w:eastAsia="zh-CN" w:bidi="ar-SA"/>
              </w:rPr>
              <w:t>注：比选申请人应提供业绩合同原件扫描件，合同须体现合同签订时间、签约主体、合作内容、合同金额及合同盖章页、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p>
        </w:tc>
      </w:tr>
    </w:tbl>
    <w:p w14:paraId="0431FD15">
      <w:pPr>
        <w:pStyle w:val="19"/>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w:t>
      </w:r>
      <w:r>
        <w:rPr>
          <w:rFonts w:hint="eastAsia" w:ascii="宋体" w:hAnsi="宋体" w:cs="宋体"/>
          <w:bCs w:val="0"/>
          <w:color w:val="auto"/>
          <w:sz w:val="28"/>
          <w:szCs w:val="28"/>
          <w:highlight w:val="none"/>
          <w:lang w:eastAsia="zh-CN"/>
        </w:rPr>
        <w:t>三</w:t>
      </w:r>
      <w:r>
        <w:rPr>
          <w:rFonts w:hint="eastAsia" w:ascii="宋体" w:hAnsi="宋体" w:cs="宋体"/>
          <w:bCs w:val="0"/>
          <w:color w:val="auto"/>
          <w:sz w:val="28"/>
          <w:szCs w:val="28"/>
          <w:highlight w:val="none"/>
        </w:rPr>
        <w:t>部分  技术部分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30 </w:t>
      </w:r>
      <w:r>
        <w:rPr>
          <w:rFonts w:hint="eastAsia" w:ascii="宋体" w:hAnsi="宋体" w:cs="宋体"/>
          <w:bCs w:val="0"/>
          <w:color w:val="auto"/>
          <w:sz w:val="28"/>
          <w:szCs w:val="28"/>
          <w:highlight w:val="none"/>
        </w:rPr>
        <w:t>分）</w:t>
      </w:r>
      <w:bookmarkEnd w:id="5"/>
    </w:p>
    <w:tbl>
      <w:tblPr>
        <w:tblStyle w:val="21"/>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5C1F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583CC58A">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序号</w:t>
            </w:r>
          </w:p>
        </w:tc>
        <w:tc>
          <w:tcPr>
            <w:tcW w:w="1357" w:type="dxa"/>
            <w:noWrap w:val="0"/>
            <w:vAlign w:val="center"/>
          </w:tcPr>
          <w:p w14:paraId="0A0AD656">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项目</w:t>
            </w:r>
          </w:p>
        </w:tc>
        <w:tc>
          <w:tcPr>
            <w:tcW w:w="1389" w:type="dxa"/>
            <w:noWrap w:val="0"/>
            <w:vAlign w:val="center"/>
          </w:tcPr>
          <w:p w14:paraId="4A7D8BD9">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分值</w:t>
            </w:r>
          </w:p>
        </w:tc>
        <w:tc>
          <w:tcPr>
            <w:tcW w:w="6272" w:type="dxa"/>
            <w:noWrap w:val="0"/>
            <w:vAlign w:val="center"/>
          </w:tcPr>
          <w:p w14:paraId="207D6238">
            <w:pPr>
              <w:pStyle w:val="5"/>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标准</w:t>
            </w:r>
          </w:p>
        </w:tc>
      </w:tr>
      <w:tr w14:paraId="59F95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6DD27009">
            <w:pPr>
              <w:pStyle w:val="5"/>
              <w:snapToGrid w:val="0"/>
              <w:spacing w:line="440" w:lineRule="exact"/>
              <w:ind w:firstLine="0" w:firstLineChars="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1357" w:type="dxa"/>
            <w:noWrap w:val="0"/>
            <w:vAlign w:val="center"/>
          </w:tcPr>
          <w:p w14:paraId="370BBBBC">
            <w:pPr>
              <w:spacing w:line="440" w:lineRule="exact"/>
              <w:jc w:val="center"/>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rPr>
              <w:t>技术方案评分</w:t>
            </w:r>
          </w:p>
        </w:tc>
        <w:tc>
          <w:tcPr>
            <w:tcW w:w="1389" w:type="dxa"/>
            <w:noWrap w:val="0"/>
            <w:vAlign w:val="center"/>
          </w:tcPr>
          <w:p w14:paraId="1AB87579">
            <w:pPr>
              <w:spacing w:line="440" w:lineRule="exact"/>
              <w:jc w:val="center"/>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color w:val="auto"/>
                <w:kern w:val="1"/>
                <w:sz w:val="28"/>
                <w:szCs w:val="28"/>
                <w:highlight w:val="none"/>
                <w:u w:val="single"/>
                <w:lang w:val="en-US" w:eastAsia="zh-CN"/>
              </w:rPr>
              <w:t>3</w:t>
            </w:r>
            <w:r>
              <w:rPr>
                <w:rFonts w:ascii="宋体" w:hAnsi="宋体" w:eastAsia="宋体" w:cs="宋体"/>
                <w:color w:val="auto"/>
                <w:kern w:val="1"/>
                <w:sz w:val="28"/>
                <w:szCs w:val="28"/>
                <w:highlight w:val="none"/>
                <w:u w:val="single"/>
              </w:rPr>
              <w:t>0</w:t>
            </w:r>
            <w:r>
              <w:rPr>
                <w:rFonts w:hint="eastAsia" w:ascii="宋体" w:hAnsi="宋体" w:eastAsia="宋体" w:cs="宋体"/>
                <w:color w:val="auto"/>
                <w:kern w:val="1"/>
                <w:sz w:val="28"/>
                <w:szCs w:val="28"/>
                <w:highlight w:val="none"/>
              </w:rPr>
              <w:t>分</w:t>
            </w:r>
          </w:p>
        </w:tc>
        <w:tc>
          <w:tcPr>
            <w:tcW w:w="6272" w:type="dxa"/>
            <w:noWrap w:val="0"/>
            <w:vAlign w:val="center"/>
          </w:tcPr>
          <w:p w14:paraId="6BDD0143">
            <w:pPr>
              <w:pStyle w:val="55"/>
              <w:spacing w:before="0" w:after="0" w:line="440" w:lineRule="exact"/>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根据提交资料情况及</w:t>
            </w:r>
            <w:r>
              <w:rPr>
                <w:rFonts w:hint="eastAsia" w:ascii="宋体" w:hAnsi="宋体" w:eastAsia="宋体" w:cs="宋体"/>
                <w:bCs w:val="0"/>
                <w:color w:val="auto"/>
                <w:sz w:val="28"/>
                <w:szCs w:val="28"/>
                <w:highlight w:val="none"/>
                <w:lang w:val="en-US" w:eastAsia="zh-CN"/>
              </w:rPr>
              <w:t>方案、</w:t>
            </w:r>
            <w:r>
              <w:rPr>
                <w:rFonts w:hint="eastAsia" w:ascii="宋体" w:hAnsi="宋体" w:eastAsia="宋体" w:cs="宋体"/>
                <w:bCs w:val="0"/>
                <w:color w:val="auto"/>
                <w:sz w:val="28"/>
                <w:szCs w:val="28"/>
                <w:highlight w:val="none"/>
              </w:rPr>
              <w:t>案例汇报陈述</w:t>
            </w:r>
            <w:r>
              <w:rPr>
                <w:rFonts w:hint="eastAsia" w:ascii="宋体" w:hAnsi="宋体" w:eastAsia="宋体" w:cs="宋体"/>
                <w:bCs w:val="0"/>
                <w:color w:val="auto"/>
                <w:sz w:val="28"/>
                <w:szCs w:val="28"/>
                <w:highlight w:val="none"/>
                <w:lang w:val="en-US" w:eastAsia="zh-CN"/>
              </w:rPr>
              <w:t>进行</w:t>
            </w:r>
            <w:r>
              <w:rPr>
                <w:rFonts w:hint="eastAsia" w:ascii="宋体" w:hAnsi="宋体" w:eastAsia="宋体" w:cs="宋体"/>
                <w:bCs w:val="0"/>
                <w:color w:val="auto"/>
                <w:sz w:val="28"/>
                <w:szCs w:val="28"/>
                <w:highlight w:val="none"/>
              </w:rPr>
              <w:t>打分。</w:t>
            </w:r>
          </w:p>
          <w:p w14:paraId="6EC9F508">
            <w:pPr>
              <w:pStyle w:val="55"/>
              <w:numPr>
                <w:ilvl w:val="0"/>
                <w:numId w:val="0"/>
              </w:numPr>
              <w:spacing w:before="0" w:after="0" w:line="440" w:lineRule="exact"/>
              <w:ind w:leftChars="0"/>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val="en-US" w:eastAsia="zh-CN"/>
              </w:rPr>
              <w:t>1.对</w:t>
            </w:r>
            <w:r>
              <w:rPr>
                <w:rFonts w:hint="eastAsia" w:ascii="宋体" w:hAnsi="宋体" w:eastAsia="宋体" w:cs="宋体"/>
                <w:bCs w:val="0"/>
                <w:color w:val="auto"/>
                <w:sz w:val="28"/>
                <w:szCs w:val="28"/>
                <w:highlight w:val="none"/>
              </w:rPr>
              <w:t>项目理解深度：</w:t>
            </w:r>
            <w:r>
              <w:rPr>
                <w:rFonts w:hint="eastAsia" w:ascii="宋体" w:hAnsi="宋体" w:eastAsia="宋体" w:cs="宋体"/>
                <w:bCs w:val="0"/>
                <w:color w:val="auto"/>
                <w:sz w:val="28"/>
                <w:szCs w:val="28"/>
                <w:highlight w:val="none"/>
                <w:lang w:val="en-US" w:eastAsia="zh-CN"/>
              </w:rPr>
              <w:t>根据投标人提交的技术文件内容符合</w:t>
            </w:r>
            <w:r>
              <w:rPr>
                <w:rFonts w:hint="eastAsia" w:ascii="宋体" w:hAnsi="宋体" w:eastAsia="宋体" w:cs="宋体"/>
                <w:bCs w:val="0"/>
                <w:color w:val="auto"/>
                <w:sz w:val="28"/>
                <w:szCs w:val="28"/>
                <w:highlight w:val="none"/>
              </w:rPr>
              <w:t>对“将乐首个第四代住宅”核心价值的挖掘准确性。并制定相应的拍摄</w:t>
            </w:r>
            <w:r>
              <w:rPr>
                <w:rFonts w:hint="eastAsia" w:ascii="宋体" w:hAnsi="宋体" w:eastAsia="宋体" w:cs="宋体"/>
                <w:bCs w:val="0"/>
                <w:color w:val="auto"/>
                <w:sz w:val="28"/>
                <w:szCs w:val="28"/>
                <w:highlight w:val="none"/>
                <w:lang w:val="en-US" w:eastAsia="zh-CN"/>
              </w:rPr>
              <w:t>运营</w:t>
            </w:r>
            <w:r>
              <w:rPr>
                <w:rFonts w:hint="eastAsia" w:ascii="宋体" w:hAnsi="宋体" w:eastAsia="宋体" w:cs="宋体"/>
                <w:bCs w:val="0"/>
                <w:color w:val="auto"/>
                <w:sz w:val="28"/>
                <w:szCs w:val="28"/>
                <w:highlight w:val="none"/>
              </w:rPr>
              <w:t>方案；</w:t>
            </w:r>
            <w:r>
              <w:rPr>
                <w:rFonts w:hint="eastAsia" w:ascii="宋体" w:hAnsi="宋体" w:eastAsia="宋体" w:cs="宋体"/>
                <w:bCs w:val="0"/>
                <w:color w:val="auto"/>
                <w:sz w:val="28"/>
                <w:szCs w:val="28"/>
                <w:highlight w:val="none"/>
                <w:lang w:val="en-US" w:eastAsia="zh-CN"/>
              </w:rPr>
              <w:t>基本完整的得基本分6分；方案思路清晰明确的加1~4分，本项最高得10分；</w:t>
            </w:r>
          </w:p>
          <w:p w14:paraId="6356B345">
            <w:pPr>
              <w:pStyle w:val="55"/>
              <w:numPr>
                <w:ilvl w:val="0"/>
                <w:numId w:val="0"/>
              </w:numPr>
              <w:spacing w:before="0" w:after="0" w:line="440" w:lineRule="exact"/>
              <w:ind w:leftChars="0"/>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营销节点匹配度：</w:t>
            </w:r>
            <w:r>
              <w:rPr>
                <w:rFonts w:hint="eastAsia" w:ascii="宋体" w:hAnsi="宋体" w:eastAsia="宋体" w:cs="宋体"/>
                <w:bCs w:val="0"/>
                <w:color w:val="auto"/>
                <w:sz w:val="28"/>
                <w:szCs w:val="28"/>
                <w:highlight w:val="none"/>
                <w:lang w:val="en-US" w:eastAsia="zh-CN"/>
              </w:rPr>
              <w:t>根据投标人提交的技术文件内容，</w:t>
            </w:r>
            <w:r>
              <w:rPr>
                <w:rFonts w:hint="eastAsia" w:ascii="宋体" w:hAnsi="宋体" w:eastAsia="宋体" w:cs="宋体"/>
                <w:bCs w:val="0"/>
                <w:color w:val="auto"/>
                <w:sz w:val="28"/>
                <w:szCs w:val="28"/>
                <w:highlight w:val="none"/>
              </w:rPr>
              <w:t>针对产品发布会、示范区样板房开放、四代住宅中国行、项目开盘，四大节点的分阶段创意视频推广方案，并提交创意，有吸引力，适应当下互联网推流规则的思路；</w:t>
            </w:r>
            <w:r>
              <w:rPr>
                <w:rFonts w:hint="eastAsia" w:ascii="宋体" w:hAnsi="宋体" w:eastAsia="宋体" w:cs="宋体"/>
                <w:bCs w:val="0"/>
                <w:color w:val="auto"/>
                <w:sz w:val="28"/>
                <w:szCs w:val="28"/>
                <w:highlight w:val="none"/>
                <w:lang w:val="en-US" w:eastAsia="zh-CN"/>
              </w:rPr>
              <w:t>基本完整的得基本分3分；方案思路清晰明确的加1~2分，本项最高得5分；</w:t>
            </w:r>
          </w:p>
          <w:p w14:paraId="6A89847A">
            <w:pPr>
              <w:pStyle w:val="55"/>
              <w:numPr>
                <w:ilvl w:val="0"/>
                <w:numId w:val="0"/>
              </w:numPr>
              <w:spacing w:before="0" w:after="0" w:line="440" w:lineRule="exact"/>
              <w:ind w:leftChars="0"/>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技术实现方案：</w:t>
            </w:r>
            <w:r>
              <w:rPr>
                <w:rFonts w:hint="eastAsia" w:ascii="宋体" w:hAnsi="宋体" w:eastAsia="宋体" w:cs="宋体"/>
                <w:bCs w:val="0"/>
                <w:color w:val="auto"/>
                <w:sz w:val="28"/>
                <w:szCs w:val="28"/>
                <w:highlight w:val="none"/>
                <w:lang w:val="en-US" w:eastAsia="zh-CN"/>
              </w:rPr>
              <w:t>提供</w:t>
            </w:r>
            <w:r>
              <w:rPr>
                <w:rFonts w:hint="eastAsia" w:ascii="宋体" w:hAnsi="宋体" w:eastAsia="宋体" w:cs="宋体"/>
                <w:bCs w:val="0"/>
                <w:color w:val="auto"/>
                <w:sz w:val="28"/>
                <w:szCs w:val="28"/>
                <w:highlight w:val="none"/>
              </w:rPr>
              <w:t>拍摄设备清单、团队配置与经验</w:t>
            </w:r>
            <w:r>
              <w:rPr>
                <w:rFonts w:hint="eastAsia" w:ascii="宋体" w:hAnsi="宋体" w:eastAsia="宋体" w:cs="宋体"/>
                <w:bCs w:val="0"/>
                <w:color w:val="auto"/>
                <w:sz w:val="28"/>
                <w:szCs w:val="28"/>
                <w:highlight w:val="none"/>
                <w:lang w:eastAsia="zh-CN"/>
              </w:rPr>
              <w:t>，</w:t>
            </w:r>
            <w:r>
              <w:rPr>
                <w:rFonts w:hint="eastAsia" w:ascii="宋体" w:hAnsi="宋体" w:eastAsia="宋体" w:cs="宋体"/>
                <w:bCs w:val="0"/>
                <w:color w:val="auto"/>
                <w:sz w:val="28"/>
                <w:szCs w:val="28"/>
                <w:highlight w:val="none"/>
                <w:lang w:val="en-US" w:eastAsia="zh-CN"/>
              </w:rPr>
              <w:t>得分3分。</w:t>
            </w:r>
          </w:p>
          <w:p w14:paraId="072F6532">
            <w:pPr>
              <w:pStyle w:val="55"/>
              <w:numPr>
                <w:ilvl w:val="0"/>
                <w:numId w:val="0"/>
              </w:numPr>
              <w:spacing w:before="0" w:after="0" w:line="440" w:lineRule="exact"/>
              <w:ind w:leftChars="0"/>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val="en-US" w:eastAsia="zh-CN"/>
              </w:rPr>
              <w:t>4.</w:t>
            </w:r>
            <w:r>
              <w:rPr>
                <w:rFonts w:hint="eastAsia" w:ascii="宋体" w:hAnsi="宋体" w:eastAsia="宋体" w:cs="宋体"/>
                <w:bCs w:val="0"/>
                <w:color w:val="auto"/>
                <w:sz w:val="28"/>
                <w:szCs w:val="28"/>
                <w:highlight w:val="none"/>
              </w:rPr>
              <w:t>根据报价单上各子项目提交同类案例质量评分（每类案例提供1个，必须是可执行报价的真实案例，需提供</w:t>
            </w:r>
            <w:r>
              <w:rPr>
                <w:rFonts w:hint="eastAsia" w:ascii="宋体" w:hAnsi="宋体" w:eastAsia="宋体" w:cs="宋体"/>
                <w:bCs w:val="0"/>
                <w:color w:val="auto"/>
                <w:sz w:val="28"/>
                <w:szCs w:val="28"/>
                <w:highlight w:val="none"/>
                <w:lang w:val="en-US" w:eastAsia="zh-CN"/>
              </w:rPr>
              <w:t>案例视频</w:t>
            </w:r>
            <w:r>
              <w:rPr>
                <w:rFonts w:hint="eastAsia" w:ascii="宋体" w:hAnsi="宋体" w:eastAsia="宋体" w:cs="宋体"/>
                <w:bCs w:val="0"/>
                <w:color w:val="auto"/>
                <w:sz w:val="28"/>
                <w:szCs w:val="28"/>
                <w:highlight w:val="none"/>
              </w:rPr>
              <w:t>）每类案例需满足相应的要求，每条要求达标</w:t>
            </w:r>
            <w:r>
              <w:rPr>
                <w:rFonts w:hint="eastAsia" w:ascii="宋体" w:hAnsi="宋体" w:eastAsia="宋体" w:cs="宋体"/>
                <w:bCs w:val="0"/>
                <w:color w:val="auto"/>
                <w:sz w:val="28"/>
                <w:szCs w:val="28"/>
                <w:highlight w:val="none"/>
                <w:lang w:val="en-US" w:eastAsia="zh-CN"/>
              </w:rPr>
              <w:t>得基本分2分，本项最高得分12分。</w:t>
            </w:r>
          </w:p>
          <w:p w14:paraId="0DD9924F">
            <w:pPr>
              <w:pStyle w:val="55"/>
              <w:numPr>
                <w:ilvl w:val="0"/>
                <w:numId w:val="0"/>
              </w:numPr>
              <w:spacing w:before="0" w:after="0" w:line="440" w:lineRule="exact"/>
              <w:ind w:left="-60" w:leftChars="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eastAsia="zh-CN"/>
              </w:rPr>
              <w:t>①</w:t>
            </w:r>
            <w:r>
              <w:rPr>
                <w:rFonts w:hint="eastAsia" w:ascii="宋体" w:hAnsi="宋体" w:eastAsia="宋体" w:cs="宋体"/>
                <w:bCs w:val="0"/>
                <w:color w:val="auto"/>
                <w:sz w:val="28"/>
                <w:szCs w:val="28"/>
                <w:highlight w:val="none"/>
              </w:rPr>
              <w:t>航拍宣传片：城市大景构图与航拍流畅度、光影效果、场景衔接创意性；</w:t>
            </w:r>
          </w:p>
          <w:p w14:paraId="0391C899">
            <w:pPr>
              <w:pStyle w:val="55"/>
              <w:numPr>
                <w:ilvl w:val="0"/>
                <w:numId w:val="0"/>
              </w:numPr>
              <w:spacing w:before="0" w:after="0" w:line="440" w:lineRule="exact"/>
              <w:ind w:left="-60" w:leftChars="0"/>
              <w:rPr>
                <w:rFonts w:hint="eastAsia" w:ascii="宋体" w:hAnsi="宋体" w:eastAsia="宋体" w:cs="宋体"/>
                <w:bCs w:val="0"/>
                <w:color w:val="auto"/>
                <w:sz w:val="28"/>
                <w:szCs w:val="28"/>
                <w:highlight w:val="none"/>
                <w:lang w:eastAsia="zh-CN"/>
              </w:rPr>
            </w:pPr>
            <w:r>
              <w:rPr>
                <w:rFonts w:hint="eastAsia" w:ascii="宋体" w:hAnsi="宋体" w:eastAsia="宋体" w:cs="宋体"/>
                <w:bCs w:val="0"/>
                <w:color w:val="auto"/>
                <w:sz w:val="28"/>
                <w:szCs w:val="28"/>
                <w:highlight w:val="none"/>
                <w:lang w:eastAsia="zh-CN"/>
              </w:rPr>
              <w:t>②</w:t>
            </w:r>
            <w:r>
              <w:rPr>
                <w:rFonts w:hint="eastAsia" w:ascii="宋体" w:hAnsi="宋体" w:eastAsia="宋体" w:cs="宋体"/>
                <w:bCs w:val="0"/>
                <w:color w:val="auto"/>
                <w:sz w:val="28"/>
                <w:szCs w:val="28"/>
                <w:highlight w:val="none"/>
              </w:rPr>
              <w:t>样板房/展示区实拍：空间展示层次感、航拍与地面镜头融合度、细节呈现（材质、光影）</w:t>
            </w:r>
            <w:r>
              <w:rPr>
                <w:rFonts w:hint="eastAsia" w:ascii="宋体" w:hAnsi="宋体" w:eastAsia="宋体" w:cs="宋体"/>
                <w:bCs w:val="0"/>
                <w:color w:val="auto"/>
                <w:sz w:val="28"/>
                <w:szCs w:val="28"/>
                <w:highlight w:val="none"/>
                <w:lang w:eastAsia="zh-CN"/>
              </w:rPr>
              <w:t>；</w:t>
            </w:r>
          </w:p>
          <w:p w14:paraId="0DE3908E">
            <w:pPr>
              <w:pStyle w:val="55"/>
              <w:numPr>
                <w:ilvl w:val="0"/>
                <w:numId w:val="0"/>
              </w:numPr>
              <w:spacing w:before="0" w:after="0" w:line="440" w:lineRule="exact"/>
              <w:ind w:left="-60" w:leftChars="0"/>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eastAsia="zh-CN"/>
              </w:rPr>
              <w:t>③</w:t>
            </w:r>
            <w:r>
              <w:rPr>
                <w:rFonts w:hint="eastAsia" w:ascii="宋体" w:hAnsi="宋体" w:eastAsia="宋体" w:cs="宋体"/>
                <w:bCs w:val="0"/>
                <w:color w:val="auto"/>
                <w:sz w:val="28"/>
                <w:szCs w:val="28"/>
                <w:highlight w:val="none"/>
              </w:rPr>
              <w:t>工艺工法类视频：技术解说清晰度、航拍与特写镜头逻辑性、复杂工艺可视化能力；</w:t>
            </w:r>
          </w:p>
          <w:p w14:paraId="42D78660">
            <w:pPr>
              <w:pStyle w:val="55"/>
              <w:numPr>
                <w:ilvl w:val="0"/>
                <w:numId w:val="0"/>
              </w:numPr>
              <w:spacing w:before="0" w:after="0" w:line="440" w:lineRule="exact"/>
              <w:ind w:left="-60" w:leftChars="0"/>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eastAsia="zh-CN"/>
              </w:rPr>
              <w:t>④</w:t>
            </w:r>
            <w:r>
              <w:rPr>
                <w:rFonts w:hint="eastAsia" w:ascii="宋体" w:hAnsi="宋体" w:eastAsia="宋体" w:cs="宋体"/>
                <w:bCs w:val="0"/>
                <w:color w:val="auto"/>
                <w:sz w:val="28"/>
                <w:szCs w:val="28"/>
                <w:highlight w:val="none"/>
              </w:rPr>
              <w:t>人物介绍内视频：人物表现力捕捉、环境与人物关系处理、设计理念传达深度；</w:t>
            </w:r>
          </w:p>
          <w:p w14:paraId="64EFC028">
            <w:pPr>
              <w:pStyle w:val="55"/>
              <w:numPr>
                <w:ilvl w:val="0"/>
                <w:numId w:val="0"/>
              </w:numPr>
              <w:spacing w:before="0" w:after="0" w:line="440" w:lineRule="exact"/>
              <w:ind w:left="-60" w:leftChars="0"/>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eastAsia="zh-CN"/>
              </w:rPr>
              <w:t>⑤</w:t>
            </w:r>
            <w:r>
              <w:rPr>
                <w:rFonts w:hint="eastAsia" w:ascii="宋体" w:hAnsi="宋体" w:eastAsia="宋体" w:cs="宋体"/>
                <w:bCs w:val="0"/>
                <w:color w:val="auto"/>
                <w:sz w:val="28"/>
                <w:szCs w:val="28"/>
                <w:highlight w:val="none"/>
              </w:rPr>
              <w:t>剧情/演绎/创意类视频拍摄：剧本创意与分镜设计、演员表演/画面叙事力、航拍与剧情结合自然度；</w:t>
            </w:r>
          </w:p>
          <w:p w14:paraId="50A491B0">
            <w:pPr>
              <w:pStyle w:val="55"/>
              <w:keepNext w:val="0"/>
              <w:keepLines w:val="0"/>
              <w:pageBreakBefore w:val="0"/>
              <w:widowControl w:val="0"/>
              <w:numPr>
                <w:ilvl w:val="0"/>
                <w:numId w:val="0"/>
              </w:numPr>
              <w:kinsoku/>
              <w:wordWrap/>
              <w:overflowPunct/>
              <w:topLinePunct w:val="0"/>
              <w:autoSpaceDE/>
              <w:autoSpaceDN/>
              <w:bidi w:val="0"/>
              <w:adjustRightInd/>
              <w:snapToGrid/>
              <w:spacing w:before="0" w:after="0" w:line="440" w:lineRule="exact"/>
              <w:ind w:left="-57" w:leftChars="0"/>
              <w:textAlignment w:val="auto"/>
              <w:rPr>
                <w:rFonts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lang w:eastAsia="zh-CN"/>
              </w:rPr>
              <w:t>⑥</w:t>
            </w:r>
            <w:r>
              <w:rPr>
                <w:rFonts w:hint="eastAsia" w:ascii="宋体" w:hAnsi="宋体" w:eastAsia="宋体" w:cs="宋体"/>
                <w:bCs w:val="0"/>
                <w:color w:val="auto"/>
                <w:sz w:val="28"/>
                <w:szCs w:val="28"/>
                <w:highlight w:val="none"/>
              </w:rPr>
              <w:t>特效视频类：动画流畅度与视觉风格、分镜脚本创意、音效/配音与画面协同性</w:t>
            </w:r>
            <w:r>
              <w:rPr>
                <w:rFonts w:hint="eastAsia" w:ascii="宋体" w:hAnsi="宋体" w:eastAsia="宋体" w:cs="宋体"/>
                <w:bCs w:val="0"/>
                <w:color w:val="auto"/>
                <w:sz w:val="28"/>
                <w:szCs w:val="28"/>
                <w:highlight w:val="none"/>
                <w:lang w:eastAsia="zh-CN"/>
              </w:rPr>
              <w:t>。</w:t>
            </w:r>
          </w:p>
          <w:p w14:paraId="65BBB6E8">
            <w:pPr>
              <w:pStyle w:val="55"/>
              <w:spacing w:before="0" w:after="0" w:line="44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注：</w:t>
            </w:r>
          </w:p>
          <w:p w14:paraId="4EB5B888">
            <w:pPr>
              <w:pStyle w:val="55"/>
              <w:spacing w:before="0" w:after="0" w:line="440" w:lineRule="exact"/>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（1）比选申请人应将汇报方案</w:t>
            </w:r>
            <w:r>
              <w:rPr>
                <w:rFonts w:hint="eastAsia" w:ascii="宋体" w:hAnsi="宋体" w:eastAsia="宋体" w:cs="宋体"/>
                <w:b/>
                <w:color w:val="auto"/>
                <w:sz w:val="28"/>
                <w:szCs w:val="28"/>
                <w:highlight w:val="none"/>
                <w:lang w:val="en-US" w:eastAsia="zh-CN"/>
              </w:rPr>
              <w:t>及案例视频</w:t>
            </w:r>
            <w:r>
              <w:rPr>
                <w:rFonts w:hint="eastAsia" w:ascii="宋体" w:hAnsi="宋体" w:eastAsia="宋体" w:cs="宋体"/>
                <w:b/>
                <w:color w:val="auto"/>
                <w:sz w:val="28"/>
                <w:szCs w:val="28"/>
                <w:highlight w:val="none"/>
              </w:rPr>
              <w:t>拷贝至U盘并保证U盘能正常使用，方案U盘应单独密封并在密封处加盖比选申请人单位公章。方案汇报时间不得超过</w:t>
            </w:r>
            <w:r>
              <w:rPr>
                <w:rFonts w:hint="eastAsia" w:ascii="宋体" w:hAnsi="宋体" w:eastAsia="宋体" w:cs="宋体"/>
                <w:b/>
                <w:color w:val="auto"/>
                <w:sz w:val="28"/>
                <w:szCs w:val="28"/>
                <w:highlight w:val="none"/>
                <w:lang w:val="en-US" w:eastAsia="zh-CN"/>
              </w:rPr>
              <w:t>3</w:t>
            </w:r>
            <w:r>
              <w:rPr>
                <w:rFonts w:hint="eastAsia" w:ascii="宋体" w:hAnsi="宋体" w:eastAsia="宋体" w:cs="宋体"/>
                <w:b/>
                <w:color w:val="auto"/>
                <w:sz w:val="28"/>
                <w:szCs w:val="28"/>
                <w:highlight w:val="none"/>
              </w:rPr>
              <w:t>0分钟。</w:t>
            </w:r>
          </w:p>
          <w:p w14:paraId="535A58D7">
            <w:pPr>
              <w:pStyle w:val="55"/>
              <w:spacing w:before="0" w:after="0" w:line="440" w:lineRule="exact"/>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（2）比选申请人应派出汇报人到场对方案进行汇报。汇报人需携带授权委托书（格式后附）原件、身份证原件于比选截止时间前至比选地点递交拟汇报方案U盘；否则视为比选申请人放弃方案汇报。</w:t>
            </w:r>
          </w:p>
          <w:p w14:paraId="17B4D797">
            <w:pPr>
              <w:pStyle w:val="55"/>
              <w:spacing w:before="0" w:after="0" w:line="440" w:lineRule="exac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color w:val="auto"/>
                <w:sz w:val="28"/>
                <w:szCs w:val="28"/>
                <w:highlight w:val="none"/>
              </w:rPr>
              <w:t>（3）汇报人以现场签到时间先后顺序分别进行讲解，评价小组根据方案讲解、方案内容等结合评分标准打分。</w:t>
            </w:r>
          </w:p>
        </w:tc>
      </w:tr>
    </w:tbl>
    <w:p w14:paraId="042D3282">
      <w:pPr>
        <w:widowControl/>
        <w:spacing w:line="500" w:lineRule="exact"/>
        <w:ind w:firstLine="480"/>
        <w:jc w:val="left"/>
        <w:rPr>
          <w:rFonts w:hint="eastAsia" w:ascii="黑体" w:hAnsi="黑体" w:eastAsia="黑体" w:cs="黑体"/>
          <w:color w:val="auto"/>
          <w:sz w:val="32"/>
          <w:szCs w:val="32"/>
          <w:highlight w:val="none"/>
          <w:shd w:val="clear" w:color="auto" w:fill="FFFFFF"/>
          <w:lang w:eastAsia="zh-CN"/>
        </w:rPr>
      </w:pPr>
      <w:r>
        <w:rPr>
          <w:rFonts w:hint="eastAsia" w:ascii="宋体" w:hAnsi="宋体" w:cs="宋体"/>
          <w:color w:val="auto"/>
          <w:kern w:val="1"/>
          <w:sz w:val="28"/>
          <w:szCs w:val="28"/>
          <w:highlight w:val="none"/>
          <w:lang w:eastAsia="zh-CN"/>
        </w:rPr>
        <w:t>注：以上证明文件均应加盖比选申请人单位公章。</w:t>
      </w:r>
    </w:p>
    <w:p w14:paraId="5CE5C8EE">
      <w:pPr>
        <w:pStyle w:val="11"/>
        <w:rPr>
          <w:rFonts w:hint="eastAsia" w:ascii="宋体" w:hAnsi="宋体" w:eastAsia="宋体" w:cs="宋体"/>
          <w:color w:val="auto"/>
          <w:sz w:val="24"/>
          <w:szCs w:val="24"/>
          <w:highlight w:val="none"/>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CB37D9"/>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0FDC19E8"/>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675CBC"/>
    <w:rsid w:val="137F4296"/>
    <w:rsid w:val="138F0A28"/>
    <w:rsid w:val="13A05904"/>
    <w:rsid w:val="13E63024"/>
    <w:rsid w:val="13EC051C"/>
    <w:rsid w:val="13ED52C0"/>
    <w:rsid w:val="13F77A88"/>
    <w:rsid w:val="13FF3EF7"/>
    <w:rsid w:val="143D5402"/>
    <w:rsid w:val="14481E7C"/>
    <w:rsid w:val="14935A4E"/>
    <w:rsid w:val="15494126"/>
    <w:rsid w:val="157601E9"/>
    <w:rsid w:val="157F76C4"/>
    <w:rsid w:val="15CC7688"/>
    <w:rsid w:val="15CD72AC"/>
    <w:rsid w:val="161E2DA8"/>
    <w:rsid w:val="164E02F9"/>
    <w:rsid w:val="16665843"/>
    <w:rsid w:val="168D2480"/>
    <w:rsid w:val="16E44C4A"/>
    <w:rsid w:val="16E774B2"/>
    <w:rsid w:val="16E9448F"/>
    <w:rsid w:val="16F13FCB"/>
    <w:rsid w:val="172B1987"/>
    <w:rsid w:val="17350D9E"/>
    <w:rsid w:val="176E793C"/>
    <w:rsid w:val="17866BE5"/>
    <w:rsid w:val="17CA6350"/>
    <w:rsid w:val="17D95BB8"/>
    <w:rsid w:val="17ED18D3"/>
    <w:rsid w:val="183103A1"/>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CC14E8"/>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AF7FAA"/>
    <w:rsid w:val="24D4778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A8323D"/>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9F0927"/>
    <w:rsid w:val="32E43941"/>
    <w:rsid w:val="33044C2E"/>
    <w:rsid w:val="33502D99"/>
    <w:rsid w:val="337B13BF"/>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083734"/>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43C14"/>
    <w:rsid w:val="384A5F26"/>
    <w:rsid w:val="388A2D94"/>
    <w:rsid w:val="38B36EDA"/>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2C6D5B"/>
    <w:rsid w:val="3B3F55B8"/>
    <w:rsid w:val="3B44358E"/>
    <w:rsid w:val="3B844B5E"/>
    <w:rsid w:val="3B8B22B1"/>
    <w:rsid w:val="3B8B6671"/>
    <w:rsid w:val="3BB20947"/>
    <w:rsid w:val="3BCD02B3"/>
    <w:rsid w:val="3BCF6241"/>
    <w:rsid w:val="3C00782B"/>
    <w:rsid w:val="3C930484"/>
    <w:rsid w:val="3C996DB6"/>
    <w:rsid w:val="3CA66CCA"/>
    <w:rsid w:val="3CB43AA5"/>
    <w:rsid w:val="3CD8637B"/>
    <w:rsid w:val="3CE23269"/>
    <w:rsid w:val="3CE8111C"/>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1FF1754"/>
    <w:rsid w:val="4222708E"/>
    <w:rsid w:val="426506CF"/>
    <w:rsid w:val="42674D95"/>
    <w:rsid w:val="42B66622"/>
    <w:rsid w:val="42E10B89"/>
    <w:rsid w:val="43443D72"/>
    <w:rsid w:val="434877D8"/>
    <w:rsid w:val="434F03DE"/>
    <w:rsid w:val="43905CF5"/>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0005F"/>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562CF5"/>
    <w:rsid w:val="58B513C4"/>
    <w:rsid w:val="58E10F36"/>
    <w:rsid w:val="58E3423C"/>
    <w:rsid w:val="595079D6"/>
    <w:rsid w:val="59635F1E"/>
    <w:rsid w:val="59AB3EE0"/>
    <w:rsid w:val="59BA1FB3"/>
    <w:rsid w:val="59BE7035"/>
    <w:rsid w:val="59E85D72"/>
    <w:rsid w:val="5A1E693A"/>
    <w:rsid w:val="5A260C05"/>
    <w:rsid w:val="5A2E5154"/>
    <w:rsid w:val="5A2F27D9"/>
    <w:rsid w:val="5ABA1F30"/>
    <w:rsid w:val="5AE05F3C"/>
    <w:rsid w:val="5B2113F2"/>
    <w:rsid w:val="5B5163B3"/>
    <w:rsid w:val="5B690736"/>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186A79"/>
    <w:rsid w:val="6C2238CC"/>
    <w:rsid w:val="6C2F4CB4"/>
    <w:rsid w:val="6C3C1B3F"/>
    <w:rsid w:val="6C47127D"/>
    <w:rsid w:val="6C572194"/>
    <w:rsid w:val="6C733C7B"/>
    <w:rsid w:val="6D2A440F"/>
    <w:rsid w:val="6D596CF4"/>
    <w:rsid w:val="6D975C3C"/>
    <w:rsid w:val="6DD4231C"/>
    <w:rsid w:val="6DD633B2"/>
    <w:rsid w:val="6DF42310"/>
    <w:rsid w:val="6E545DED"/>
    <w:rsid w:val="6EBF08CD"/>
    <w:rsid w:val="6EF357A9"/>
    <w:rsid w:val="6F03410B"/>
    <w:rsid w:val="6F122D5A"/>
    <w:rsid w:val="6F4E2668"/>
    <w:rsid w:val="6F5F0058"/>
    <w:rsid w:val="6F6D70DC"/>
    <w:rsid w:val="6F8A0689"/>
    <w:rsid w:val="6FBB68F4"/>
    <w:rsid w:val="6FCA5A57"/>
    <w:rsid w:val="6FCD2C54"/>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284F7E"/>
    <w:rsid w:val="746F303B"/>
    <w:rsid w:val="74BC6782"/>
    <w:rsid w:val="7504558C"/>
    <w:rsid w:val="7512724A"/>
    <w:rsid w:val="75175073"/>
    <w:rsid w:val="752E6832"/>
    <w:rsid w:val="754B0FDA"/>
    <w:rsid w:val="755248A6"/>
    <w:rsid w:val="7552615C"/>
    <w:rsid w:val="75682860"/>
    <w:rsid w:val="757565AD"/>
    <w:rsid w:val="758C6C69"/>
    <w:rsid w:val="75E06AB8"/>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26617"/>
    <w:rsid w:val="7CA35578"/>
    <w:rsid w:val="7CA51274"/>
    <w:rsid w:val="7CB345FF"/>
    <w:rsid w:val="7D020CA4"/>
    <w:rsid w:val="7D2F6B86"/>
    <w:rsid w:val="7D4C0957"/>
    <w:rsid w:val="7DF42174"/>
    <w:rsid w:val="7E5C7CF2"/>
    <w:rsid w:val="7EFE1A9D"/>
    <w:rsid w:val="7F1F5DDE"/>
    <w:rsid w:val="7F4E3550"/>
    <w:rsid w:val="7F7F16EC"/>
    <w:rsid w:val="7F801306"/>
    <w:rsid w:val="7F814DA1"/>
    <w:rsid w:val="7F912972"/>
    <w:rsid w:val="7FDC1E3F"/>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6"/>
    <w:autoRedefine/>
    <w:unhideWhenUsed/>
    <w:qFormat/>
    <w:uiPriority w:val="99"/>
    <w:rPr>
      <w:sz w:val="18"/>
      <w:szCs w:val="18"/>
    </w:rPr>
  </w:style>
  <w:style w:type="paragraph" w:styleId="13">
    <w:name w:val="footer"/>
    <w:basedOn w:val="1"/>
    <w:link w:val="34"/>
    <w:autoRedefine/>
    <w:unhideWhenUsed/>
    <w:qFormat/>
    <w:uiPriority w:val="99"/>
    <w:pPr>
      <w:tabs>
        <w:tab w:val="center" w:pos="4153"/>
        <w:tab w:val="right" w:pos="8306"/>
      </w:tabs>
      <w:snapToGrid w:val="0"/>
      <w:jc w:val="left"/>
    </w:pPr>
    <w:rPr>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3"/>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2"/>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paragraph" w:customStyle="1" w:styleId="32">
    <w:name w:val="UserStyle_0"/>
    <w:basedOn w:val="1"/>
    <w:autoRedefine/>
    <w:qFormat/>
    <w:uiPriority w:val="0"/>
    <w:pPr>
      <w:ind w:left="482" w:firstLine="200"/>
    </w:pPr>
    <w:rPr>
      <w:szCs w:val="20"/>
    </w:rPr>
  </w:style>
  <w:style w:type="character" w:customStyle="1" w:styleId="33">
    <w:name w:val="页眉 Char"/>
    <w:basedOn w:val="23"/>
    <w:link w:val="14"/>
    <w:autoRedefine/>
    <w:qFormat/>
    <w:uiPriority w:val="99"/>
    <w:rPr>
      <w:sz w:val="18"/>
      <w:szCs w:val="18"/>
    </w:rPr>
  </w:style>
  <w:style w:type="character" w:customStyle="1" w:styleId="34">
    <w:name w:val="页脚 Char"/>
    <w:basedOn w:val="23"/>
    <w:link w:val="13"/>
    <w:autoRedefine/>
    <w:qFormat/>
    <w:uiPriority w:val="99"/>
    <w:rPr>
      <w:sz w:val="18"/>
      <w:szCs w:val="18"/>
    </w:rPr>
  </w:style>
  <w:style w:type="character" w:customStyle="1" w:styleId="35">
    <w:name w:val="font31"/>
    <w:basedOn w:val="23"/>
    <w:qFormat/>
    <w:uiPriority w:val="0"/>
    <w:rPr>
      <w:rFonts w:hint="eastAsia" w:ascii="宋体" w:hAnsi="宋体" w:eastAsia="宋体" w:cs="宋体"/>
      <w:color w:val="000000"/>
      <w:sz w:val="32"/>
      <w:szCs w:val="32"/>
      <w:u w:val="none"/>
    </w:rPr>
  </w:style>
  <w:style w:type="character" w:customStyle="1" w:styleId="36">
    <w:name w:val="批注框文本 Char"/>
    <w:basedOn w:val="23"/>
    <w:link w:val="12"/>
    <w:semiHidden/>
    <w:qFormat/>
    <w:uiPriority w:val="99"/>
    <w:rPr>
      <w:kern w:val="2"/>
      <w:sz w:val="18"/>
      <w:szCs w:val="18"/>
    </w:rPr>
  </w:style>
  <w:style w:type="paragraph" w:customStyle="1" w:styleId="37">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8">
    <w:name w:val="正文缩进_0"/>
    <w:basedOn w:val="37"/>
    <w:autoRedefine/>
    <w:qFormat/>
    <w:uiPriority w:val="0"/>
    <w:pPr>
      <w:ind w:firstLine="420"/>
    </w:pPr>
    <w:rPr>
      <w:rFonts w:ascii="Calibri" w:hAnsi="Calibri"/>
      <w:kern w:val="2"/>
      <w:sz w:val="21"/>
    </w:rPr>
  </w:style>
  <w:style w:type="paragraph" w:customStyle="1" w:styleId="39">
    <w:name w:val="Normal_3"/>
    <w:qFormat/>
    <w:uiPriority w:val="0"/>
    <w:rPr>
      <w:rFonts w:ascii="黑体" w:hAnsi="黑体" w:eastAsia="黑体" w:cs="Times New Roman"/>
      <w:b/>
      <w:sz w:val="32"/>
      <w:szCs w:val="24"/>
      <w:lang w:val="en-US" w:eastAsia="zh-CN" w:bidi="ar-SA"/>
    </w:rPr>
  </w:style>
  <w:style w:type="paragraph" w:customStyle="1" w:styleId="40">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1">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0_0"/>
    <w:basedOn w:val="44"/>
    <w:autoRedefine/>
    <w:qFormat/>
    <w:uiPriority w:val="0"/>
    <w:pPr>
      <w:widowControl/>
      <w:ind w:firstLine="420"/>
      <w:jc w:val="left"/>
    </w:pPr>
    <w:rPr>
      <w:rFonts w:ascii="Times New Roman" w:hAnsi="Times New Roman"/>
      <w:sz w:val="20"/>
      <w:szCs w:val="24"/>
    </w:rPr>
  </w:style>
  <w:style w:type="paragraph" w:customStyle="1" w:styleId="44">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5"/>
    <w:autoRedefine/>
    <w:qFormat/>
    <w:uiPriority w:val="0"/>
    <w:rPr>
      <w:rFonts w:ascii="黑体" w:hAnsi="黑体" w:eastAsia="黑体" w:cs="Times New Roman"/>
      <w:b/>
      <w:sz w:val="32"/>
      <w:szCs w:val="24"/>
      <w:lang w:val="en-US" w:eastAsia="zh-CN" w:bidi="ar-SA"/>
    </w:rPr>
  </w:style>
  <w:style w:type="paragraph" w:customStyle="1" w:styleId="46">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缩进_2"/>
    <w:basedOn w:val="46"/>
    <w:autoRedefine/>
    <w:qFormat/>
    <w:uiPriority w:val="0"/>
    <w:pPr>
      <w:widowControl/>
      <w:ind w:firstLine="420"/>
      <w:jc w:val="left"/>
    </w:pPr>
    <w:rPr>
      <w:rFonts w:ascii="Times New Roman" w:hAnsi="Times New Roman"/>
      <w:sz w:val="20"/>
      <w:szCs w:val="24"/>
    </w:rPr>
  </w:style>
  <w:style w:type="character" w:customStyle="1" w:styleId="48">
    <w:name w:val="hover5"/>
    <w:basedOn w:val="23"/>
    <w:autoRedefine/>
    <w:qFormat/>
    <w:uiPriority w:val="0"/>
  </w:style>
  <w:style w:type="paragraph" w:customStyle="1" w:styleId="49">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50">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1">
    <w:name w:val="p0"/>
    <w:basedOn w:val="1"/>
    <w:autoRedefine/>
    <w:qFormat/>
    <w:uiPriority w:val="0"/>
    <w:pPr>
      <w:jc w:val="both"/>
    </w:pPr>
    <w:rPr>
      <w:rFonts w:ascii="Times New Roman" w:hAnsi="Times New Roman" w:cs="Times New Roman"/>
      <w:sz w:val="21"/>
      <w:szCs w:val="21"/>
    </w:rPr>
  </w:style>
  <w:style w:type="character" w:customStyle="1" w:styleId="52">
    <w:name w:val="标题 Char"/>
    <w:link w:val="19"/>
    <w:autoRedefine/>
    <w:qFormat/>
    <w:uiPriority w:val="10"/>
    <w:rPr>
      <w:rFonts w:ascii="Cambria" w:hAnsi="Cambria" w:cs="Times New Roman"/>
      <w:b/>
      <w:bCs/>
      <w:szCs w:val="32"/>
    </w:rPr>
  </w:style>
  <w:style w:type="character" w:customStyle="1" w:styleId="53">
    <w:name w:val="副标题 Char"/>
    <w:link w:val="16"/>
    <w:autoRedefine/>
    <w:qFormat/>
    <w:uiPriority w:val="11"/>
    <w:rPr>
      <w:rFonts w:ascii="Calibri Light" w:hAnsi="Calibri Light" w:cs="Times New Roman"/>
      <w:b/>
      <w:bCs/>
      <w:kern w:val="28"/>
      <w:sz w:val="32"/>
      <w:szCs w:val="32"/>
    </w:rPr>
  </w:style>
  <w:style w:type="paragraph" w:customStyle="1" w:styleId="54">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5">
    <w:name w:val="表格文字"/>
    <w:basedOn w:val="1"/>
    <w:qFormat/>
    <w:uiPriority w:val="99"/>
    <w:pPr>
      <w:spacing w:before="25" w:after="25"/>
      <w:jc w:val="left"/>
    </w:pPr>
    <w:rPr>
      <w:bCs/>
      <w:spacing w:val="10"/>
      <w:kern w:val="0"/>
      <w:sz w:val="24"/>
    </w:rPr>
  </w:style>
  <w:style w:type="paragraph" w:customStyle="1" w:styleId="56">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7">
    <w:name w:val="font11"/>
    <w:basedOn w:val="23"/>
    <w:autoRedefine/>
    <w:qFormat/>
    <w:uiPriority w:val="0"/>
    <w:rPr>
      <w:rFonts w:hint="eastAsia" w:ascii="仿宋" w:hAnsi="仿宋" w:eastAsia="仿宋" w:cs="仿宋"/>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3424</Words>
  <Characters>3639</Characters>
  <Lines>16</Lines>
  <Paragraphs>4</Paragraphs>
  <TotalTime>20</TotalTime>
  <ScaleCrop>false</ScaleCrop>
  <LinksUpToDate>false</LinksUpToDate>
  <CharactersWithSpaces>3910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2025-08-18T07:47:48Z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17F0D4286C694F8CB2477F5B4ED70CB8_13</vt:lpwstr>
  </property>
  <property fmtid="{D5CDD505-2E9C-101B-9397-08002B2CF9AE}" pid="4" name="KSOTemplateDocerSaveRecord">
    <vt:lpwstr>eyJoZGlkIjoiNmYwZDBkMzY4NDFjM2M4ODNiNTE5OWZjNzQ2NTQxODkiLCJ1c2VySWQiOiIyOTA1Mzk1MDYifQ==</vt:lpwstr>
  </property>
</Properties>
</file>