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三明生态新城明城康养投资开发有限公司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三明康养城项目C6地块CCRC康复设备采购及安装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三明康养城项目C6地块CCRC康复设备采购及安装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业绩证明材料；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报价函</w:t>
      </w:r>
      <w:r>
        <w:rPr>
          <w:rFonts w:hint="eastAsia"/>
          <w:color w:val="auto"/>
          <w:highlight w:val="none"/>
          <w:lang w:val="en-US" w:eastAsia="zh-CN"/>
        </w:rPr>
        <w:t>(另册提供）</w:t>
      </w:r>
      <w:r>
        <w:rPr>
          <w:rFonts w:hint="eastAsia"/>
          <w:color w:val="auto"/>
          <w:highlight w:val="none"/>
          <w:lang w:eastAsia="zh-CN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所提交信息材料、比选材料、证明材料真实可靠，并对其真实性承担相应的法律责任。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eastAsia="zh-CN"/>
        </w:rPr>
        <w:t>三明康养城项目C6地块CCRC康复设备采购及安装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6"/>
        <w:keepNext w:val="0"/>
        <w:keepLines w:val="0"/>
        <w:widowControl/>
        <w:suppressLineNumbers w:val="0"/>
        <w:spacing w:before="0" w:beforeAutospacing="1" w:after="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比选申请人自本比选项目发布比选公告之日的前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五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年内（含本比选项目发布比选公告之日）具备至少</w:t>
      </w:r>
      <w:r>
        <w:rPr>
          <w:rFonts w:hint="eastAsia" w:ascii="宋体"/>
          <w:b w:val="0"/>
          <w:bCs/>
          <w:color w:val="auto"/>
          <w:sz w:val="24"/>
          <w:szCs w:val="24"/>
          <w:highlight w:val="none"/>
          <w:lang w:val="en-US" w:eastAsia="zh-CN"/>
        </w:rPr>
        <w:t>两项类似业绩（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须提供类似业绩合同复印件，业绩时间以业绩合同签订之日为准；业绩证明材料须加盖单位公章</w:t>
      </w:r>
      <w:r>
        <w:rPr>
          <w:rFonts w:hint="eastAsia" w:ascii="宋体"/>
          <w:b w:val="0"/>
          <w:bCs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D571D"/>
    <w:rsid w:val="45F675E9"/>
    <w:rsid w:val="4D2D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font61"/>
    <w:basedOn w:val="8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2023-09-15T09:20:00Z</dcterms:created>
  <dc:creator>WPS_290539506</dc:creator>
  <cp:lastModifiedBy>WPS_290539506</cp:lastModifiedBy>
  <dcterms:modified xsi:type="dcterms:W3CDTF">2023-09-15T09:22:13Z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C6C1707EE2A54940A38646F22087CE69</vt:lpwstr>
  </property>
</Properties>
</file>