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5" w:type="dxa"/>
        <w:tblCellMar>
          <w:left w:w="0" w:type="dxa"/>
          <w:right w:w="0" w:type="dxa"/>
        </w:tblCellMar>
        <w:tblLook w:val="04A0"/>
      </w:tblPr>
      <w:tblGrid>
        <w:gridCol w:w="1573"/>
        <w:gridCol w:w="1275"/>
        <w:gridCol w:w="1552"/>
        <w:gridCol w:w="132"/>
        <w:gridCol w:w="4153"/>
      </w:tblGrid>
      <w:tr w:rsidR="007E0F3E" w:rsidRPr="00EC554E" w:rsidTr="00A156A3">
        <w:trPr>
          <w:trHeight w:val="864"/>
        </w:trPr>
        <w:tc>
          <w:tcPr>
            <w:tcW w:w="868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方正小标宋简体" w:eastAsia="方正小标宋简体"/>
                <w:sz w:val="40"/>
                <w:szCs w:val="40"/>
              </w:rPr>
            </w:pPr>
            <w:r w:rsidRPr="00EC554E">
              <w:rPr>
                <w:rFonts w:ascii="方正小标宋简体" w:eastAsia="方正小标宋简体" w:hint="eastAsia"/>
                <w:sz w:val="40"/>
                <w:szCs w:val="40"/>
              </w:rPr>
              <w:t>三明市文化旅游建设发展集团有限公司</w:t>
            </w:r>
          </w:p>
          <w:p w:rsidR="007E0F3E" w:rsidRPr="00EC554E" w:rsidRDefault="007E0F3E" w:rsidP="00A156A3">
            <w:pPr>
              <w:jc w:val="center"/>
            </w:pPr>
            <w:r w:rsidRPr="00EC554E">
              <w:rPr>
                <w:rFonts w:ascii="方正小标宋简体" w:eastAsia="方正小标宋简体" w:hint="eastAsia"/>
                <w:sz w:val="40"/>
                <w:szCs w:val="40"/>
              </w:rPr>
              <w:t>常年法律顾问比选评分</w:t>
            </w:r>
            <w:proofErr w:type="gramStart"/>
            <w:r w:rsidRPr="00EC554E">
              <w:rPr>
                <w:rFonts w:ascii="方正小标宋简体" w:eastAsia="方正小标宋简体" w:hint="eastAsia"/>
                <w:sz w:val="40"/>
                <w:szCs w:val="40"/>
              </w:rPr>
              <w:t>规则表</w:t>
            </w:r>
            <w:proofErr w:type="gramEnd"/>
          </w:p>
        </w:tc>
      </w:tr>
      <w:tr w:rsidR="007E0F3E" w:rsidRPr="00EC554E" w:rsidTr="00A156A3">
        <w:trPr>
          <w:trHeight w:val="313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评选项目</w:t>
            </w:r>
          </w:p>
        </w:tc>
        <w:tc>
          <w:tcPr>
            <w:tcW w:w="58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评分规则</w:t>
            </w:r>
          </w:p>
        </w:tc>
      </w:tr>
      <w:tr w:rsidR="007E0F3E" w:rsidRPr="00EC554E" w:rsidTr="00A156A3">
        <w:trPr>
          <w:trHeight w:val="451"/>
        </w:trPr>
        <w:tc>
          <w:tcPr>
            <w:tcW w:w="15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评选板块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具体项目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分值</w:t>
            </w: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标准</w:t>
            </w:r>
          </w:p>
        </w:tc>
      </w:tr>
      <w:tr w:rsidR="007E0F3E" w:rsidRPr="00EC554E" w:rsidTr="00A156A3">
        <w:trPr>
          <w:trHeight w:val="1290"/>
        </w:trPr>
        <w:tc>
          <w:tcPr>
            <w:tcW w:w="15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服务费</w:t>
            </w:r>
          </w:p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（20%）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常年法律顾问服务费</w:t>
            </w:r>
          </w:p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（万元/年）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10分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以比选申请人投标报价的加权平均报价为满分</w:t>
            </w:r>
            <w:r>
              <w:rPr>
                <w:rFonts w:ascii="仿宋_GB2312" w:eastAsia="仿宋_GB2312" w:hint="eastAsia"/>
                <w:sz w:val="24"/>
                <w:szCs w:val="31"/>
              </w:rPr>
              <w:t>10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分。比选申请人报价每高于平均报价0.1万元扣0.1分，比选申请人报价每低于平均价格0.1万元扣0.2分，扣完为止。</w:t>
            </w:r>
          </w:p>
        </w:tc>
      </w:tr>
      <w:tr w:rsidR="007E0F3E" w:rsidRPr="00EC554E" w:rsidTr="00A156A3">
        <w:trPr>
          <w:trHeight w:val="1290"/>
        </w:trPr>
        <w:tc>
          <w:tcPr>
            <w:tcW w:w="1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诉讼或仲裁案件收费优惠。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10</w:t>
            </w:r>
            <w:r>
              <w:rPr>
                <w:rFonts w:ascii="仿宋_GB2312" w:eastAsia="仿宋_GB2312" w:hint="eastAsia"/>
                <w:sz w:val="24"/>
                <w:szCs w:val="31"/>
              </w:rPr>
              <w:t>分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相关诉讼或仲裁案件聘请中心法律顾问担任代理律师，按照福建省律师服务收费标准最低价格，给予</w:t>
            </w:r>
            <w:r>
              <w:rPr>
                <w:rFonts w:ascii="仿宋_GB2312" w:eastAsia="仿宋_GB2312" w:hint="eastAsia"/>
                <w:sz w:val="24"/>
                <w:szCs w:val="31"/>
              </w:rPr>
              <w:t>3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0%优惠的，10分；20%优惠的，6分；10%优惠的，3分；没有优惠，0分。</w:t>
            </w:r>
          </w:p>
        </w:tc>
      </w:tr>
      <w:tr w:rsidR="007E0F3E" w:rsidRPr="00EC554E" w:rsidTr="00A156A3">
        <w:trPr>
          <w:trHeight w:val="751"/>
        </w:trPr>
        <w:tc>
          <w:tcPr>
            <w:tcW w:w="157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顾问服务方案（35%）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文件指定法律服务范围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15分</w:t>
            </w: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满足比选文件指定服务业务范围为15分，少一项扣5分，扣完为止</w:t>
            </w:r>
          </w:p>
        </w:tc>
      </w:tr>
      <w:tr w:rsidR="007E0F3E" w:rsidRPr="00EC554E" w:rsidTr="00A156A3">
        <w:trPr>
          <w:trHeight w:val="914"/>
        </w:trPr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比选要求</w:t>
            </w:r>
            <w:proofErr w:type="gramStart"/>
            <w:r w:rsidRPr="00EC554E">
              <w:rPr>
                <w:rFonts w:ascii="仿宋_GB2312" w:eastAsia="仿宋_GB2312" w:hint="eastAsia"/>
                <w:sz w:val="24"/>
                <w:szCs w:val="31"/>
              </w:rPr>
              <w:t>外承诺</w:t>
            </w:r>
            <w:proofErr w:type="gramEnd"/>
            <w:r w:rsidRPr="00EC554E">
              <w:rPr>
                <w:rFonts w:ascii="仿宋_GB2312" w:eastAsia="仿宋_GB2312" w:hint="eastAsia"/>
                <w:sz w:val="24"/>
                <w:szCs w:val="31"/>
              </w:rPr>
              <w:t>服务项目种类（项）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8分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比选要求以外服务承诺项目，每有一项得2分，加满为止。</w:t>
            </w:r>
          </w:p>
        </w:tc>
      </w:tr>
      <w:tr w:rsidR="007E0F3E" w:rsidRPr="00EC554E" w:rsidTr="00A156A3">
        <w:trPr>
          <w:trHeight w:val="1444"/>
        </w:trPr>
        <w:tc>
          <w:tcPr>
            <w:tcW w:w="1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服务方案</w:t>
            </w:r>
          </w:p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综合评价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12分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比选申请人须提供法律服务方案需要有针对</w:t>
            </w:r>
            <w:proofErr w:type="gramStart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市文旅集团</w:t>
            </w:r>
            <w:proofErr w:type="gramEnd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开展的各项业务进行法律服务内容分析。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对比选申请人法律服务方案综合评价优：10-12分；良：7-9分；一般：4-6分</w:t>
            </w:r>
          </w:p>
        </w:tc>
      </w:tr>
      <w:tr w:rsidR="007E0F3E" w:rsidRPr="00EC554E" w:rsidTr="00A156A3">
        <w:trPr>
          <w:trHeight w:val="776"/>
        </w:trPr>
        <w:tc>
          <w:tcPr>
            <w:tcW w:w="15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综合水平</w:t>
            </w:r>
          </w:p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（45%）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顾问律师及团队业绩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21分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Default="007E0F3E" w:rsidP="00A156A3">
            <w:pPr>
              <w:rPr>
                <w:rFonts w:ascii="仿宋_GB2312" w:eastAsia="仿宋_GB2312" w:hint="eastAsia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比选小组对参加比选申请人业绩综合进行评定，</w:t>
            </w:r>
            <w:r w:rsidRPr="00504FA3">
              <w:rPr>
                <w:rFonts w:ascii="仿宋_GB2312" w:eastAsia="仿宋_GB2312"/>
                <w:sz w:val="24"/>
                <w:szCs w:val="31"/>
              </w:rPr>
              <w:t>拟派律师代理过建设工程合同诉讼案件的每1宗得1分，满分7分</w:t>
            </w:r>
            <w:r w:rsidRPr="00504FA3">
              <w:rPr>
                <w:rFonts w:ascii="仿宋_GB2312" w:eastAsia="仿宋_GB2312" w:hint="eastAsia"/>
                <w:sz w:val="24"/>
                <w:szCs w:val="31"/>
              </w:rPr>
              <w:t>；</w:t>
            </w:r>
            <w:r w:rsidRPr="00504FA3">
              <w:rPr>
                <w:rFonts w:ascii="仿宋_GB2312" w:eastAsia="仿宋_GB2312"/>
                <w:sz w:val="24"/>
                <w:szCs w:val="31"/>
              </w:rPr>
              <w:t>劳动争议诉讼或仲裁案件的每1宗得1分，满分7分</w:t>
            </w:r>
            <w:r w:rsidRPr="00504FA3">
              <w:rPr>
                <w:rFonts w:ascii="仿宋_GB2312" w:eastAsia="仿宋_GB2312" w:hint="eastAsia"/>
                <w:sz w:val="24"/>
                <w:szCs w:val="31"/>
              </w:rPr>
              <w:t>；侵权损害类纠纷</w:t>
            </w:r>
            <w:r w:rsidRPr="00504FA3">
              <w:rPr>
                <w:rFonts w:ascii="仿宋_GB2312" w:eastAsia="仿宋_GB2312"/>
                <w:sz w:val="24"/>
                <w:szCs w:val="31"/>
              </w:rPr>
              <w:t>诉讼案件的每1宗得1分，满分7分</w:t>
            </w:r>
            <w:r>
              <w:rPr>
                <w:rFonts w:ascii="仿宋_GB2312" w:eastAsia="仿宋_GB2312" w:hint="eastAsia"/>
                <w:sz w:val="24"/>
                <w:szCs w:val="31"/>
              </w:rPr>
              <w:t>。</w:t>
            </w:r>
          </w:p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504FA3">
              <w:rPr>
                <w:rFonts w:ascii="仿宋_GB2312" w:eastAsia="仿宋_GB2312"/>
                <w:sz w:val="24"/>
                <w:szCs w:val="31"/>
              </w:rPr>
              <w:t>（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比选申请人需</w:t>
            </w:r>
            <w:r w:rsidRPr="00504FA3">
              <w:rPr>
                <w:rFonts w:ascii="仿宋_GB2312" w:eastAsia="仿宋_GB2312"/>
                <w:sz w:val="24"/>
                <w:szCs w:val="31"/>
              </w:rPr>
              <w:t>提供</w:t>
            </w:r>
            <w:r w:rsidRPr="00504FA3">
              <w:rPr>
                <w:rFonts w:ascii="仿宋_GB2312" w:eastAsia="仿宋_GB2312" w:hint="eastAsia"/>
                <w:sz w:val="24"/>
                <w:szCs w:val="31"/>
              </w:rPr>
              <w:t>专业律师证书，或</w:t>
            </w:r>
            <w:r w:rsidRPr="00504FA3">
              <w:rPr>
                <w:rFonts w:ascii="仿宋_GB2312" w:eastAsia="仿宋_GB2312"/>
                <w:sz w:val="24"/>
                <w:szCs w:val="31"/>
              </w:rPr>
              <w:t>判决书、裁定书、决定书编号</w:t>
            </w:r>
            <w:r w:rsidRPr="00504FA3">
              <w:rPr>
                <w:rFonts w:ascii="仿宋_GB2312" w:eastAsia="仿宋_GB2312" w:hint="eastAsia"/>
                <w:sz w:val="24"/>
                <w:szCs w:val="31"/>
              </w:rPr>
              <w:t>，可在裁判文书网上查询</w:t>
            </w:r>
            <w:r w:rsidRPr="00504FA3">
              <w:rPr>
                <w:rFonts w:ascii="仿宋_GB2312" w:eastAsia="仿宋_GB2312"/>
                <w:sz w:val="24"/>
                <w:szCs w:val="31"/>
              </w:rPr>
              <w:t>）</w:t>
            </w:r>
            <w:r w:rsidRPr="00504FA3">
              <w:rPr>
                <w:rFonts w:ascii="仿宋_GB2312" w:eastAsia="仿宋_GB2312" w:hint="eastAsia"/>
                <w:sz w:val="24"/>
                <w:szCs w:val="31"/>
              </w:rPr>
              <w:t>。</w:t>
            </w:r>
          </w:p>
        </w:tc>
      </w:tr>
      <w:tr w:rsidR="007E0F3E" w:rsidRPr="00EC554E" w:rsidTr="00A156A3">
        <w:trPr>
          <w:trHeight w:val="309"/>
        </w:trPr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事务所及顾问律师荣誉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5.0分</w:t>
            </w: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Default="007E0F3E" w:rsidP="00A156A3">
            <w:pPr>
              <w:rPr>
                <w:rFonts w:ascii="仿宋_GB2312" w:eastAsia="仿宋_GB2312" w:hAnsi="Calibri" w:hint="eastAsia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律师事务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所荣获市级以上司法部门、律师协会荣誉的，每项得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0.5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分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，总分为2.5分，</w:t>
            </w:r>
            <w:proofErr w:type="gramStart"/>
            <w:r w:rsidRPr="00EC554E">
              <w:rPr>
                <w:rFonts w:ascii="仿宋_GB2312" w:eastAsia="仿宋_GB2312" w:hint="eastAsia"/>
                <w:sz w:val="24"/>
                <w:szCs w:val="31"/>
              </w:rPr>
              <w:t>计满为止</w:t>
            </w:r>
            <w:proofErr w:type="gramEnd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。</w:t>
            </w:r>
          </w:p>
          <w:p w:rsidR="007E0F3E" w:rsidRPr="00EC554E" w:rsidRDefault="007E0F3E" w:rsidP="00A156A3">
            <w:pPr>
              <w:rPr>
                <w:rFonts w:ascii="仿宋_GB2312" w:eastAsia="仿宋_GB2312" w:hAnsi="Calibri"/>
                <w:sz w:val="24"/>
                <w:szCs w:val="31"/>
              </w:rPr>
            </w:pP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拟派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顾问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律师荣获市级以上荣誉的，每项得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0.5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分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，总分为2.5分，</w:t>
            </w:r>
            <w:proofErr w:type="gramStart"/>
            <w:r w:rsidRPr="00EC554E">
              <w:rPr>
                <w:rFonts w:ascii="仿宋_GB2312" w:eastAsia="仿宋_GB2312" w:hint="eastAsia"/>
                <w:sz w:val="24"/>
                <w:szCs w:val="31"/>
              </w:rPr>
              <w:t>计满为止</w:t>
            </w:r>
            <w:proofErr w:type="gramEnd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。</w:t>
            </w:r>
          </w:p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（比选申请人需提供相关证明文件复印件并加盖公章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。）</w:t>
            </w:r>
          </w:p>
        </w:tc>
      </w:tr>
      <w:tr w:rsidR="007E0F3E" w:rsidRPr="00EC554E" w:rsidTr="00A156A3">
        <w:trPr>
          <w:trHeight w:val="776"/>
        </w:trPr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为行政事业单位、国有企业提供过法律顾问服务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5.0分</w:t>
            </w: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Default="007E0F3E" w:rsidP="00A156A3">
            <w:pPr>
              <w:rPr>
                <w:rFonts w:ascii="仿宋_GB2312" w:eastAsia="仿宋_GB2312" w:hAnsi="Calibri" w:hint="eastAsia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律师事务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所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，正在三明地区行政事业单位、国有企业担任法律顾问的，每年为每一个单位法律顾问服务的，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每项得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0.5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分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，总分为5.0分，</w:t>
            </w:r>
            <w:proofErr w:type="gramStart"/>
            <w:r w:rsidRPr="00EC554E">
              <w:rPr>
                <w:rFonts w:ascii="仿宋_GB2312" w:eastAsia="仿宋_GB2312" w:hint="eastAsia"/>
                <w:sz w:val="24"/>
                <w:szCs w:val="31"/>
              </w:rPr>
              <w:t>计满为止</w:t>
            </w:r>
            <w:proofErr w:type="gramEnd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。</w:t>
            </w:r>
          </w:p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（比选申请人需提供相关证明文件复印件并加盖公章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）</w:t>
            </w:r>
          </w:p>
        </w:tc>
      </w:tr>
      <w:tr w:rsidR="007E0F3E" w:rsidRPr="00EC554E" w:rsidTr="00A156A3">
        <w:trPr>
          <w:trHeight w:val="776"/>
        </w:trPr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与服务内容相匹配的专业律师证书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2.5分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 w:hAnsi="Calibri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拟派顾问律师，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具有与</w:t>
            </w:r>
            <w:proofErr w:type="gramStart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市文旅集团</w:t>
            </w:r>
            <w:proofErr w:type="gramEnd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企业经营内容相匹配的专业律师证书，每项得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0.5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分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，总分为2.5分，</w:t>
            </w:r>
            <w:proofErr w:type="gramStart"/>
            <w:r w:rsidRPr="00EC554E">
              <w:rPr>
                <w:rFonts w:ascii="仿宋_GB2312" w:eastAsia="仿宋_GB2312" w:hint="eastAsia"/>
                <w:sz w:val="24"/>
                <w:szCs w:val="31"/>
              </w:rPr>
              <w:t>计满为止</w:t>
            </w:r>
            <w:proofErr w:type="gramEnd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。如：具有公司法专业律师认定的，对公司治理及企业的合</w:t>
            </w:r>
            <w:proofErr w:type="gramStart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规</w:t>
            </w:r>
            <w:proofErr w:type="gramEnd"/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性审查具有相当的经验与优势；具有劳动法专业律师认定的，对企业劳动人事方面的纠纷处理具有优势。</w:t>
            </w:r>
          </w:p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>
              <w:rPr>
                <w:rFonts w:ascii="仿宋_GB2312" w:eastAsia="仿宋_GB2312" w:hAnsi="Calibri" w:hint="eastAsia"/>
                <w:sz w:val="24"/>
                <w:szCs w:val="31"/>
              </w:rPr>
              <w:t>（比选申请人需提供相关证明文件复印件并加盖公章</w:t>
            </w:r>
            <w:r w:rsidRPr="00EC554E">
              <w:rPr>
                <w:rFonts w:ascii="仿宋_GB2312" w:eastAsia="仿宋_GB2312" w:hAnsi="Calibri" w:hint="eastAsia"/>
                <w:sz w:val="24"/>
                <w:szCs w:val="31"/>
              </w:rPr>
              <w:t>）</w:t>
            </w:r>
          </w:p>
        </w:tc>
      </w:tr>
      <w:tr w:rsidR="007E0F3E" w:rsidRPr="00EC554E" w:rsidTr="00A156A3">
        <w:trPr>
          <w:trHeight w:val="776"/>
        </w:trPr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事务所执业年限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>
              <w:rPr>
                <w:rFonts w:ascii="仿宋_GB2312" w:eastAsia="仿宋_GB2312" w:hint="eastAsia"/>
                <w:sz w:val="24"/>
                <w:szCs w:val="31"/>
              </w:rPr>
              <w:t>4.0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分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事务所执业年限满</w:t>
            </w:r>
            <w:r>
              <w:rPr>
                <w:rFonts w:ascii="仿宋_GB2312" w:eastAsia="仿宋_GB2312" w:hint="eastAsia"/>
                <w:sz w:val="24"/>
                <w:szCs w:val="31"/>
              </w:rPr>
              <w:t>三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年开始计分，每增加一年得0.5分，总分为</w:t>
            </w:r>
            <w:r>
              <w:rPr>
                <w:rFonts w:ascii="仿宋_GB2312" w:eastAsia="仿宋_GB2312" w:hint="eastAsia"/>
                <w:sz w:val="24"/>
                <w:szCs w:val="31"/>
              </w:rPr>
              <w:t>4.0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分，</w:t>
            </w:r>
            <w:proofErr w:type="gramStart"/>
            <w:r w:rsidRPr="00EC554E">
              <w:rPr>
                <w:rFonts w:ascii="仿宋_GB2312" w:eastAsia="仿宋_GB2312" w:hint="eastAsia"/>
                <w:sz w:val="24"/>
                <w:szCs w:val="31"/>
              </w:rPr>
              <w:t>计满为止</w:t>
            </w:r>
            <w:proofErr w:type="gramEnd"/>
            <w:r w:rsidRPr="00EC554E">
              <w:rPr>
                <w:rFonts w:ascii="仿宋_GB2312" w:eastAsia="仿宋_GB2312" w:hint="eastAsia"/>
                <w:sz w:val="24"/>
                <w:szCs w:val="31"/>
              </w:rPr>
              <w:t>。</w:t>
            </w:r>
          </w:p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（比选申请人需提供律师事务所许可证复印件并加盖公章）</w:t>
            </w:r>
          </w:p>
        </w:tc>
      </w:tr>
      <w:tr w:rsidR="007E0F3E" w:rsidRPr="00EC554E" w:rsidTr="00A156A3">
        <w:trPr>
          <w:trHeight w:val="2462"/>
        </w:trPr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拟派顾问律师执业年限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2.5分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拟派顾问律师，执业年限满5年开始计分，每增加一年得0.5分，总分为2.5分，</w:t>
            </w:r>
            <w:proofErr w:type="gramStart"/>
            <w:r w:rsidRPr="00EC554E">
              <w:rPr>
                <w:rFonts w:ascii="仿宋_GB2312" w:eastAsia="仿宋_GB2312" w:hint="eastAsia"/>
                <w:sz w:val="24"/>
                <w:szCs w:val="31"/>
              </w:rPr>
              <w:t>计满为止</w:t>
            </w:r>
            <w:proofErr w:type="gramEnd"/>
            <w:r w:rsidRPr="00EC554E">
              <w:rPr>
                <w:rFonts w:ascii="仿宋_GB2312" w:eastAsia="仿宋_GB2312" w:hint="eastAsia"/>
                <w:sz w:val="24"/>
                <w:szCs w:val="31"/>
              </w:rPr>
              <w:t>；有多位顾问律师的以主办律师为评分对象。</w:t>
            </w:r>
          </w:p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（比选申请人需提供律师执业证书并以执业证书的年限为依据，拟派律师中曾在法院、检察院任职的工作年限，可视同律师执业年限。）</w:t>
            </w:r>
          </w:p>
        </w:tc>
      </w:tr>
      <w:tr w:rsidR="007E0F3E" w:rsidRPr="00EC554E" w:rsidTr="00A156A3">
        <w:trPr>
          <w:trHeight w:val="1696"/>
        </w:trPr>
        <w:tc>
          <w:tcPr>
            <w:tcW w:w="15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事务所执业规模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2.5分</w:t>
            </w: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事务所专职律师数量满5人开始计分，每增加一人得0.5人，总分为2.5分，</w:t>
            </w:r>
            <w:proofErr w:type="gramStart"/>
            <w:r w:rsidRPr="00EC554E">
              <w:rPr>
                <w:rFonts w:ascii="仿宋_GB2312" w:eastAsia="仿宋_GB2312" w:hint="eastAsia"/>
                <w:sz w:val="24"/>
                <w:szCs w:val="31"/>
              </w:rPr>
              <w:t>计满为止</w:t>
            </w:r>
            <w:proofErr w:type="gramEnd"/>
            <w:r w:rsidRPr="00EC554E">
              <w:rPr>
                <w:rFonts w:ascii="仿宋_GB2312" w:eastAsia="仿宋_GB2312" w:hint="eastAsia"/>
                <w:sz w:val="24"/>
                <w:szCs w:val="31"/>
              </w:rPr>
              <w:t>。</w:t>
            </w:r>
          </w:p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（比选申请人需提供</w:t>
            </w:r>
            <w:r w:rsidRPr="00504FA3">
              <w:rPr>
                <w:rFonts w:ascii="仿宋_GB2312" w:eastAsia="仿宋_GB2312"/>
                <w:bCs/>
                <w:sz w:val="24"/>
                <w:szCs w:val="31"/>
              </w:rPr>
              <w:t>律师执业证</w:t>
            </w:r>
            <w:r w:rsidRPr="00504FA3">
              <w:rPr>
                <w:rFonts w:ascii="仿宋_GB2312" w:eastAsia="仿宋_GB2312" w:hint="eastAsia"/>
                <w:bCs/>
                <w:sz w:val="24"/>
                <w:szCs w:val="31"/>
              </w:rPr>
              <w:t>复印件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）</w:t>
            </w:r>
          </w:p>
        </w:tc>
      </w:tr>
      <w:tr w:rsidR="007E0F3E" w:rsidRPr="00EC554E" w:rsidTr="00A156A3">
        <w:trPr>
          <w:trHeight w:val="600"/>
        </w:trPr>
        <w:tc>
          <w:tcPr>
            <w:tcW w:w="2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总  计</w:t>
            </w:r>
          </w:p>
        </w:tc>
        <w:tc>
          <w:tcPr>
            <w:tcW w:w="58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E0F3E" w:rsidRPr="00EC554E" w:rsidRDefault="007E0F3E" w:rsidP="00A156A3">
            <w:pPr>
              <w:jc w:val="center"/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100分</w:t>
            </w:r>
          </w:p>
        </w:tc>
      </w:tr>
      <w:tr w:rsidR="007E0F3E" w:rsidRPr="00EC554E" w:rsidTr="00A156A3">
        <w:trPr>
          <w:trHeight w:val="1762"/>
        </w:trPr>
        <w:tc>
          <w:tcPr>
            <w:tcW w:w="8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0F3E" w:rsidRPr="00EC554E" w:rsidRDefault="007E0F3E" w:rsidP="00A156A3">
            <w:pPr>
              <w:rPr>
                <w:rFonts w:ascii="仿宋_GB2312" w:eastAsia="仿宋_GB2312"/>
                <w:sz w:val="24"/>
                <w:szCs w:val="31"/>
              </w:rPr>
            </w:pPr>
            <w:r w:rsidRPr="00EC554E">
              <w:rPr>
                <w:rFonts w:ascii="仿宋_GB2312" w:eastAsia="仿宋_GB2312" w:hint="eastAsia"/>
                <w:sz w:val="24"/>
                <w:szCs w:val="31"/>
              </w:rPr>
              <w:t>说明：顾问律师及团队业绩评定包含但不限于</w:t>
            </w:r>
            <w:proofErr w:type="gramStart"/>
            <w:r w:rsidRPr="00EC554E">
              <w:rPr>
                <w:rFonts w:ascii="仿宋_GB2312" w:eastAsia="仿宋_GB2312" w:hint="eastAsia"/>
                <w:sz w:val="24"/>
                <w:szCs w:val="31"/>
              </w:rPr>
              <w:t>文旅</w:t>
            </w:r>
            <w:r>
              <w:rPr>
                <w:rFonts w:ascii="仿宋_GB2312" w:eastAsia="仿宋_GB2312" w:hint="eastAsia"/>
                <w:sz w:val="24"/>
                <w:szCs w:val="31"/>
              </w:rPr>
              <w:t>合同</w:t>
            </w:r>
            <w:proofErr w:type="gramEnd"/>
            <w:r>
              <w:rPr>
                <w:rFonts w:ascii="仿宋_GB2312" w:eastAsia="仿宋_GB2312" w:hint="eastAsia"/>
                <w:sz w:val="24"/>
                <w:szCs w:val="31"/>
              </w:rPr>
              <w:t>纠纷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，建筑施工类合同纠纷，买卖合同类纠纷，劳动争议类纠纷，侵权损害类纠纷；以比选申请人在行政事业单位、大中型国有企业担任法律顾问或承办案件的业绩作为重点考核对象，若无该部分业绩</w:t>
            </w:r>
            <w:proofErr w:type="gramStart"/>
            <w:r>
              <w:rPr>
                <w:rFonts w:ascii="仿宋_GB2312" w:eastAsia="仿宋_GB2312" w:hint="eastAsia"/>
                <w:sz w:val="24"/>
                <w:szCs w:val="31"/>
              </w:rPr>
              <w:t>则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业绩分</w:t>
            </w:r>
            <w:proofErr w:type="gramEnd"/>
            <w:r w:rsidRPr="00EC554E">
              <w:rPr>
                <w:rFonts w:ascii="仿宋_GB2312" w:eastAsia="仿宋_GB2312" w:hint="eastAsia"/>
                <w:sz w:val="24"/>
                <w:szCs w:val="31"/>
              </w:rPr>
              <w:t>最高不能超过</w:t>
            </w:r>
            <w:r>
              <w:rPr>
                <w:rFonts w:ascii="仿宋_GB2312" w:eastAsia="仿宋_GB2312" w:hint="eastAsia"/>
                <w:sz w:val="24"/>
                <w:szCs w:val="31"/>
              </w:rPr>
              <w:t>15</w:t>
            </w:r>
            <w:r w:rsidRPr="00EC554E">
              <w:rPr>
                <w:rFonts w:ascii="仿宋_GB2312" w:eastAsia="仿宋_GB2312" w:hint="eastAsia"/>
                <w:sz w:val="24"/>
                <w:szCs w:val="31"/>
              </w:rPr>
              <w:t>分。</w:t>
            </w:r>
          </w:p>
        </w:tc>
      </w:tr>
    </w:tbl>
    <w:p w:rsidR="007E0F3E" w:rsidRDefault="007E0F3E" w:rsidP="007E0F3E">
      <w:pPr>
        <w:rPr>
          <w:rFonts w:ascii="仿宋_GB2312" w:eastAsia="仿宋_GB2312" w:hint="eastAsia"/>
          <w:sz w:val="24"/>
          <w:szCs w:val="31"/>
        </w:rPr>
      </w:pPr>
    </w:p>
    <w:sectPr w:rsidR="007E0F3E" w:rsidSect="007E0F3E">
      <w:headerReference w:type="default" r:id="rId4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2D4" w:rsidRDefault="007E0F3E">
    <w:pPr>
      <w:pStyle w:val="a3"/>
      <w:tabs>
        <w:tab w:val="clear" w:pos="4153"/>
      </w:tabs>
      <w:wordWrap w:val="0"/>
      <w:spacing w:line="360" w:lineRule="auto"/>
      <w:ind w:right="-199"/>
      <w:jc w:val="both"/>
      <w:rPr>
        <w:rFonts w:hint="eastAsia"/>
      </w:rPr>
    </w:pPr>
    <w:r>
      <w:rPr>
        <w:rFonts w:ascii="楷体" w:eastAsia="楷体" w:hAnsi="楷体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style="width:30pt;height:33pt;mso-position-horizontal-relative:page;mso-position-vertical-relative:page">
          <v:imagedata r:id="rId1" o:title="1578304536(1)"/>
        </v:shape>
      </w:pict>
    </w:r>
    <w:r>
      <w:rPr>
        <w:rFonts w:ascii="楷体" w:eastAsia="楷体" w:hAnsi="楷体"/>
        <w:sz w:val="28"/>
        <w:szCs w:val="28"/>
      </w:rPr>
      <w:t xml:space="preserve">        </w:t>
    </w:r>
    <w:r>
      <w:rPr>
        <w:rFonts w:ascii="楷体" w:eastAsia="楷体" w:hAnsi="楷体"/>
        <w:sz w:val="28"/>
        <w:szCs w:val="28"/>
      </w:rPr>
      <w:t xml:space="preserve">              </w:t>
    </w:r>
    <w:r>
      <w:rPr>
        <w:rFonts w:ascii="楷体" w:eastAsia="楷体" w:hAnsi="楷体" w:hint="eastAsia"/>
        <w:sz w:val="28"/>
        <w:szCs w:val="28"/>
      </w:rPr>
      <w:t>三明市文化</w:t>
    </w:r>
    <w:r>
      <w:rPr>
        <w:rFonts w:ascii="楷体" w:eastAsia="楷体" w:hAnsi="楷体"/>
        <w:sz w:val="28"/>
        <w:szCs w:val="28"/>
      </w:rPr>
      <w:t>旅游</w:t>
    </w:r>
    <w:r>
      <w:rPr>
        <w:rFonts w:ascii="楷体" w:eastAsia="楷体" w:hAnsi="楷体" w:hint="eastAsia"/>
        <w:sz w:val="28"/>
        <w:szCs w:val="28"/>
      </w:rPr>
      <w:t>建设</w:t>
    </w:r>
    <w:r>
      <w:rPr>
        <w:rFonts w:ascii="楷体" w:eastAsia="楷体" w:hAnsi="楷体"/>
        <w:sz w:val="28"/>
        <w:szCs w:val="28"/>
      </w:rPr>
      <w:t>发展集团有限公司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F3E"/>
    <w:rsid w:val="00183DBC"/>
    <w:rsid w:val="007E0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F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7E0F3E"/>
    <w:rPr>
      <w:sz w:val="18"/>
      <w:szCs w:val="18"/>
    </w:rPr>
  </w:style>
  <w:style w:type="paragraph" w:styleId="a3">
    <w:name w:val="header"/>
    <w:basedOn w:val="a"/>
    <w:link w:val="Char"/>
    <w:unhideWhenUsed/>
    <w:rsid w:val="007E0F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7E0F3E"/>
    <w:rPr>
      <w:rFonts w:ascii="Times New Roman" w:eastAsia="宋体" w:hAnsi="Times New Roman" w:cs="Times New Roman"/>
      <w:sz w:val="18"/>
      <w:szCs w:val="18"/>
    </w:rPr>
  </w:style>
  <w:style w:type="paragraph" w:customStyle="1" w:styleId="A4">
    <w:name w:val="正文 A"/>
    <w:qFormat/>
    <w:rsid w:val="007E0F3E"/>
    <w:pPr>
      <w:widowControl w:val="0"/>
      <w:jc w:val="both"/>
    </w:pPr>
    <w:rPr>
      <w:rFonts w:ascii="Times New Roman" w:eastAsia="Arial Unicode MS" w:hAnsi="Times New Roman" w:cs="Arial Unicode MS"/>
      <w:color w:val="000000"/>
      <w:szCs w:val="21"/>
      <w:u w:color="000000"/>
    </w:rPr>
  </w:style>
  <w:style w:type="character" w:customStyle="1" w:styleId="a5">
    <w:name w:val="无"/>
    <w:qFormat/>
    <w:rsid w:val="007E0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1</cp:revision>
  <dcterms:created xsi:type="dcterms:W3CDTF">2022-03-17T03:39:00Z</dcterms:created>
  <dcterms:modified xsi:type="dcterms:W3CDTF">2022-03-17T03:42:00Z</dcterms:modified>
</cp:coreProperties>
</file>